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141" w:rsidRPr="006406A9" w:rsidRDefault="00237400">
      <w:pPr>
        <w:rPr>
          <w:b/>
          <w:sz w:val="32"/>
          <w:szCs w:val="32"/>
        </w:rPr>
      </w:pPr>
      <w:bookmarkStart w:id="0" w:name="_GoBack"/>
      <w:bookmarkEnd w:id="0"/>
      <w:r w:rsidRPr="006406A9">
        <w:rPr>
          <w:b/>
          <w:sz w:val="32"/>
          <w:szCs w:val="32"/>
        </w:rPr>
        <w:t>NOTES TO THE ACCOUNTS</w:t>
      </w:r>
    </w:p>
    <w:p w:rsidR="00237400" w:rsidRPr="006A5FDF" w:rsidRDefault="00237400" w:rsidP="006A5FDF">
      <w:pPr>
        <w:rPr>
          <w:b/>
          <w:sz w:val="28"/>
          <w:szCs w:val="28"/>
        </w:rPr>
      </w:pPr>
      <w:r w:rsidRPr="006A5FDF">
        <w:rPr>
          <w:b/>
          <w:sz w:val="28"/>
          <w:szCs w:val="28"/>
        </w:rPr>
        <w:t>ACCOUNTING POLICIES</w:t>
      </w:r>
    </w:p>
    <w:p w:rsidR="00237400" w:rsidRPr="006A5FDF" w:rsidRDefault="00237400" w:rsidP="006A5FDF">
      <w:pPr>
        <w:rPr>
          <w:b/>
          <w:sz w:val="28"/>
          <w:szCs w:val="28"/>
        </w:rPr>
      </w:pPr>
      <w:r w:rsidRPr="006A5FDF">
        <w:rPr>
          <w:b/>
          <w:sz w:val="28"/>
          <w:szCs w:val="28"/>
        </w:rPr>
        <w:t>1.1</w:t>
      </w:r>
      <w:r w:rsidR="000173B3" w:rsidRPr="006A5FDF">
        <w:rPr>
          <w:b/>
          <w:sz w:val="28"/>
          <w:szCs w:val="28"/>
        </w:rPr>
        <w:t xml:space="preserve">   </w:t>
      </w:r>
      <w:r w:rsidRPr="006A5FDF">
        <w:rPr>
          <w:b/>
          <w:sz w:val="28"/>
          <w:szCs w:val="28"/>
        </w:rPr>
        <w:t>General Statement</w:t>
      </w:r>
    </w:p>
    <w:p w:rsidR="00237400" w:rsidRPr="006A5FDF" w:rsidRDefault="00237400" w:rsidP="006A5FDF">
      <w:pPr>
        <w:rPr>
          <w:sz w:val="28"/>
          <w:szCs w:val="28"/>
        </w:rPr>
      </w:pPr>
      <w:r w:rsidRPr="006A5FDF">
        <w:rPr>
          <w:sz w:val="28"/>
          <w:szCs w:val="28"/>
        </w:rPr>
        <w:t>The financial statements is prepared in accordance with generally accepted accounting principles</w:t>
      </w:r>
    </w:p>
    <w:p w:rsidR="00986568" w:rsidRDefault="00986568" w:rsidP="00237400">
      <w:pPr>
        <w:pStyle w:val="ListParagraph"/>
        <w:rPr>
          <w:sz w:val="28"/>
          <w:szCs w:val="28"/>
        </w:rPr>
      </w:pPr>
    </w:p>
    <w:p w:rsidR="00237400" w:rsidRPr="006A5FDF" w:rsidRDefault="00237400" w:rsidP="006A5FDF">
      <w:pPr>
        <w:rPr>
          <w:sz w:val="28"/>
          <w:szCs w:val="28"/>
        </w:rPr>
      </w:pPr>
      <w:r w:rsidRPr="006A5FDF">
        <w:rPr>
          <w:sz w:val="28"/>
          <w:szCs w:val="28"/>
        </w:rPr>
        <w:t xml:space="preserve">In preparing the financial statements takes cognizance of the Local Government Act </w:t>
      </w:r>
      <w:r w:rsidR="00986568" w:rsidRPr="006A5FDF">
        <w:rPr>
          <w:sz w:val="28"/>
          <w:szCs w:val="28"/>
        </w:rPr>
        <w:t>936, 2016.Public</w:t>
      </w:r>
      <w:r w:rsidRPr="006A5FDF">
        <w:rPr>
          <w:sz w:val="28"/>
          <w:szCs w:val="28"/>
        </w:rPr>
        <w:t xml:space="preserve"> Financial Management Act (PFM ACT 2016 ACT </w:t>
      </w:r>
      <w:r w:rsidR="00986568" w:rsidRPr="006A5FDF">
        <w:rPr>
          <w:sz w:val="28"/>
          <w:szCs w:val="28"/>
        </w:rPr>
        <w:t>921) relevant portions of the</w:t>
      </w:r>
      <w:r w:rsidR="00443524" w:rsidRPr="006A5FDF">
        <w:rPr>
          <w:sz w:val="28"/>
          <w:szCs w:val="28"/>
        </w:rPr>
        <w:t xml:space="preserve"> Public</w:t>
      </w:r>
      <w:r w:rsidR="00986568" w:rsidRPr="006A5FDF">
        <w:rPr>
          <w:sz w:val="28"/>
          <w:szCs w:val="28"/>
        </w:rPr>
        <w:t xml:space="preserve"> F</w:t>
      </w:r>
      <w:r w:rsidRPr="006A5FDF">
        <w:rPr>
          <w:sz w:val="28"/>
          <w:szCs w:val="28"/>
        </w:rPr>
        <w:t xml:space="preserve">inancial </w:t>
      </w:r>
      <w:r w:rsidR="00443524" w:rsidRPr="006A5FDF">
        <w:rPr>
          <w:sz w:val="28"/>
          <w:szCs w:val="28"/>
        </w:rPr>
        <w:t xml:space="preserve">Management </w:t>
      </w:r>
      <w:r w:rsidR="000173B3" w:rsidRPr="006A5FDF">
        <w:rPr>
          <w:sz w:val="28"/>
          <w:szCs w:val="28"/>
        </w:rPr>
        <w:t>Regulation</w:t>
      </w:r>
      <w:r w:rsidRPr="006A5FDF">
        <w:rPr>
          <w:sz w:val="28"/>
          <w:szCs w:val="28"/>
        </w:rPr>
        <w:t xml:space="preserve"> </w:t>
      </w:r>
      <w:r w:rsidR="00443524" w:rsidRPr="006A5FDF">
        <w:rPr>
          <w:sz w:val="28"/>
          <w:szCs w:val="28"/>
        </w:rPr>
        <w:t>2019,</w:t>
      </w:r>
      <w:r w:rsidR="000173B3" w:rsidRPr="006A5FDF">
        <w:rPr>
          <w:sz w:val="28"/>
          <w:szCs w:val="28"/>
        </w:rPr>
        <w:t xml:space="preserve"> have been applied to the preparation of these financial statements</w:t>
      </w:r>
    </w:p>
    <w:p w:rsidR="000173B3" w:rsidRPr="00073638" w:rsidRDefault="000173B3" w:rsidP="00237400">
      <w:pPr>
        <w:pStyle w:val="ListParagraph"/>
        <w:rPr>
          <w:sz w:val="28"/>
          <w:szCs w:val="28"/>
        </w:rPr>
      </w:pPr>
    </w:p>
    <w:p w:rsidR="000173B3" w:rsidRPr="006406A9" w:rsidRDefault="006406A9" w:rsidP="000173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43524">
        <w:rPr>
          <w:b/>
          <w:sz w:val="28"/>
          <w:szCs w:val="28"/>
        </w:rPr>
        <w:t>Basi</w:t>
      </w:r>
      <w:r w:rsidR="000173B3" w:rsidRPr="006406A9">
        <w:rPr>
          <w:b/>
          <w:sz w:val="28"/>
          <w:szCs w:val="28"/>
        </w:rPr>
        <w:t>s of Preparation</w:t>
      </w:r>
    </w:p>
    <w:p w:rsidR="000173B3" w:rsidRPr="00073638" w:rsidRDefault="00BF5CF1" w:rsidP="006A5FDF">
      <w:pPr>
        <w:rPr>
          <w:sz w:val="28"/>
          <w:szCs w:val="28"/>
        </w:rPr>
      </w:pPr>
      <w:r>
        <w:rPr>
          <w:sz w:val="28"/>
          <w:szCs w:val="28"/>
        </w:rPr>
        <w:t xml:space="preserve">The Annual </w:t>
      </w:r>
      <w:r w:rsidR="000173B3" w:rsidRPr="00073638">
        <w:rPr>
          <w:sz w:val="28"/>
          <w:szCs w:val="28"/>
        </w:rPr>
        <w:t xml:space="preserve">Financial Statement has been prepared on </w:t>
      </w:r>
      <w:r w:rsidR="00026EC0" w:rsidRPr="00073638">
        <w:rPr>
          <w:sz w:val="28"/>
          <w:szCs w:val="28"/>
        </w:rPr>
        <w:t>modified</w:t>
      </w:r>
      <w:r w:rsidR="00443524">
        <w:rPr>
          <w:sz w:val="28"/>
          <w:szCs w:val="28"/>
        </w:rPr>
        <w:t xml:space="preserve"> cash basi</w:t>
      </w:r>
      <w:r w:rsidR="000173B3" w:rsidRPr="00073638">
        <w:rPr>
          <w:sz w:val="28"/>
          <w:szCs w:val="28"/>
        </w:rPr>
        <w:t>s of accounting where income is recognized when cash is received and expenditure is recognized when incurred</w:t>
      </w:r>
    </w:p>
    <w:p w:rsidR="000173B3" w:rsidRDefault="000173B3" w:rsidP="006A5FDF">
      <w:pPr>
        <w:rPr>
          <w:sz w:val="28"/>
          <w:szCs w:val="28"/>
        </w:rPr>
      </w:pPr>
      <w:r w:rsidRPr="00073638">
        <w:rPr>
          <w:sz w:val="28"/>
          <w:szCs w:val="28"/>
        </w:rPr>
        <w:t xml:space="preserve">The Financial </w:t>
      </w:r>
      <w:r w:rsidR="00C1070A" w:rsidRPr="00073638">
        <w:rPr>
          <w:sz w:val="28"/>
          <w:szCs w:val="28"/>
        </w:rPr>
        <w:t>Statements</w:t>
      </w:r>
      <w:r w:rsidRPr="00073638">
        <w:rPr>
          <w:sz w:val="28"/>
          <w:szCs w:val="28"/>
        </w:rPr>
        <w:t xml:space="preserve"> are presented in Ghana Cedis and all </w:t>
      </w:r>
      <w:r w:rsidR="00C1070A" w:rsidRPr="00073638">
        <w:rPr>
          <w:sz w:val="28"/>
          <w:szCs w:val="28"/>
        </w:rPr>
        <w:t>values</w:t>
      </w:r>
      <w:r w:rsidRPr="00073638">
        <w:rPr>
          <w:sz w:val="28"/>
          <w:szCs w:val="28"/>
        </w:rPr>
        <w:t xml:space="preserve"> are </w:t>
      </w:r>
      <w:r w:rsidR="00C1070A" w:rsidRPr="00073638">
        <w:rPr>
          <w:sz w:val="28"/>
          <w:szCs w:val="28"/>
        </w:rPr>
        <w:t>rounded</w:t>
      </w:r>
      <w:r w:rsidRPr="00073638">
        <w:rPr>
          <w:sz w:val="28"/>
          <w:szCs w:val="28"/>
        </w:rPr>
        <w:t xml:space="preserve"> to the </w:t>
      </w:r>
      <w:r w:rsidR="00C1070A" w:rsidRPr="00073638">
        <w:rPr>
          <w:sz w:val="28"/>
          <w:szCs w:val="28"/>
        </w:rPr>
        <w:t>nearest</w:t>
      </w:r>
      <w:r w:rsidRPr="00073638">
        <w:rPr>
          <w:sz w:val="28"/>
          <w:szCs w:val="28"/>
        </w:rPr>
        <w:t xml:space="preserve"> </w:t>
      </w:r>
      <w:r w:rsidR="00C1070A" w:rsidRPr="00073638">
        <w:rPr>
          <w:sz w:val="28"/>
          <w:szCs w:val="28"/>
        </w:rPr>
        <w:t>Ghana pesewas</w:t>
      </w:r>
    </w:p>
    <w:p w:rsidR="006A5FDF" w:rsidRPr="00073638" w:rsidRDefault="006A5FDF" w:rsidP="006A5FDF">
      <w:pPr>
        <w:rPr>
          <w:sz w:val="28"/>
          <w:szCs w:val="28"/>
        </w:rPr>
      </w:pPr>
    </w:p>
    <w:p w:rsidR="00C1070A" w:rsidRPr="006406A9" w:rsidRDefault="006406A9" w:rsidP="00C1070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1070A" w:rsidRPr="006406A9">
        <w:rPr>
          <w:b/>
          <w:sz w:val="28"/>
          <w:szCs w:val="28"/>
        </w:rPr>
        <w:t>Policy Statement of Accrual accounting basis Policy</w:t>
      </w:r>
    </w:p>
    <w:p w:rsidR="00C1070A" w:rsidRPr="00073638" w:rsidRDefault="00C1070A" w:rsidP="006A5FDF">
      <w:pPr>
        <w:rPr>
          <w:sz w:val="28"/>
          <w:szCs w:val="28"/>
        </w:rPr>
      </w:pPr>
      <w:r w:rsidRPr="00073638">
        <w:rPr>
          <w:sz w:val="28"/>
          <w:szCs w:val="28"/>
        </w:rPr>
        <w:t>The adoption of Accrual accounting policy was he</w:t>
      </w:r>
      <w:r w:rsidR="00986568">
        <w:rPr>
          <w:sz w:val="28"/>
          <w:szCs w:val="28"/>
        </w:rPr>
        <w:t xml:space="preserve">ighted in the Public Financial </w:t>
      </w:r>
      <w:r w:rsidR="00986568" w:rsidRPr="00073638">
        <w:rPr>
          <w:sz w:val="28"/>
          <w:szCs w:val="28"/>
        </w:rPr>
        <w:t>management</w:t>
      </w:r>
      <w:r w:rsidR="00026EC0" w:rsidRPr="00073638">
        <w:rPr>
          <w:sz w:val="28"/>
          <w:szCs w:val="28"/>
        </w:rPr>
        <w:t xml:space="preserve"> PFM</w:t>
      </w:r>
      <w:r w:rsidRPr="00073638">
        <w:rPr>
          <w:sz w:val="28"/>
          <w:szCs w:val="28"/>
        </w:rPr>
        <w:t xml:space="preserve"> 2016, Act 921</w:t>
      </w:r>
    </w:p>
    <w:p w:rsidR="00026EC0" w:rsidRDefault="00C1070A" w:rsidP="006A5FDF">
      <w:pPr>
        <w:rPr>
          <w:sz w:val="28"/>
          <w:szCs w:val="28"/>
        </w:rPr>
      </w:pPr>
      <w:r w:rsidRPr="00073638">
        <w:rPr>
          <w:sz w:val="28"/>
          <w:szCs w:val="28"/>
        </w:rPr>
        <w:t>An implementation plan for the adoption of accrual basi</w:t>
      </w:r>
      <w:r w:rsidR="00986568">
        <w:rPr>
          <w:sz w:val="28"/>
          <w:szCs w:val="28"/>
        </w:rPr>
        <w:t>s is currently under developed</w:t>
      </w:r>
    </w:p>
    <w:p w:rsidR="006A5FDF" w:rsidRDefault="006A5FDF" w:rsidP="006A5FDF">
      <w:pPr>
        <w:rPr>
          <w:sz w:val="28"/>
          <w:szCs w:val="28"/>
        </w:rPr>
      </w:pPr>
    </w:p>
    <w:p w:rsidR="006A5FDF" w:rsidRPr="00073638" w:rsidRDefault="006A5FDF" w:rsidP="006A5FDF">
      <w:pPr>
        <w:rPr>
          <w:sz w:val="28"/>
          <w:szCs w:val="28"/>
        </w:rPr>
      </w:pPr>
    </w:p>
    <w:p w:rsidR="00026EC0" w:rsidRPr="00073638" w:rsidRDefault="006406A9" w:rsidP="00026E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986568">
        <w:rPr>
          <w:b/>
          <w:sz w:val="28"/>
          <w:szCs w:val="28"/>
        </w:rPr>
        <w:t>Revenue</w:t>
      </w:r>
    </w:p>
    <w:p w:rsidR="00026EC0" w:rsidRPr="006A5FDF" w:rsidRDefault="00026EC0" w:rsidP="006A5FDF">
      <w:pPr>
        <w:rPr>
          <w:sz w:val="28"/>
          <w:szCs w:val="28"/>
        </w:rPr>
      </w:pPr>
      <w:r w:rsidRPr="006A5FDF">
        <w:rPr>
          <w:sz w:val="28"/>
          <w:szCs w:val="28"/>
        </w:rPr>
        <w:t>Ga East Municipal Assembly (GEMA) reports revenue in the period in which they are received and lodged into the operational accounts</w:t>
      </w:r>
      <w:r w:rsidR="00B729A4" w:rsidRPr="006A5FDF">
        <w:rPr>
          <w:sz w:val="28"/>
          <w:szCs w:val="28"/>
        </w:rPr>
        <w:t>.</w:t>
      </w:r>
    </w:p>
    <w:p w:rsidR="008E5B10" w:rsidRPr="006A5FDF" w:rsidRDefault="00B729A4" w:rsidP="006A5FDF">
      <w:pPr>
        <w:rPr>
          <w:b/>
          <w:bCs/>
          <w:sz w:val="28"/>
          <w:szCs w:val="28"/>
        </w:rPr>
      </w:pPr>
      <w:r w:rsidRPr="006A5FDF">
        <w:rPr>
          <w:sz w:val="28"/>
          <w:szCs w:val="28"/>
        </w:rPr>
        <w:t xml:space="preserve">Revenue for the year includes </w:t>
      </w:r>
      <w:proofErr w:type="spellStart"/>
      <w:r w:rsidRPr="006A5FDF">
        <w:rPr>
          <w:sz w:val="28"/>
          <w:szCs w:val="28"/>
        </w:rPr>
        <w:t>Internallay</w:t>
      </w:r>
      <w:proofErr w:type="spellEnd"/>
      <w:r w:rsidRPr="006A5FDF">
        <w:rPr>
          <w:sz w:val="28"/>
          <w:szCs w:val="28"/>
        </w:rPr>
        <w:t xml:space="preserve"> Generated Fund (IGF) and Grants amounted to </w:t>
      </w:r>
      <w:proofErr w:type="spellStart"/>
      <w:r w:rsidRPr="006A5FDF">
        <w:rPr>
          <w:sz w:val="28"/>
          <w:szCs w:val="28"/>
        </w:rPr>
        <w:t>Ghs</w:t>
      </w:r>
      <w:proofErr w:type="spellEnd"/>
      <w:r w:rsidRPr="006A5FDF">
        <w:rPr>
          <w:sz w:val="28"/>
          <w:szCs w:val="28"/>
        </w:rPr>
        <w:t xml:space="preserve"> </w:t>
      </w:r>
      <w:proofErr w:type="gramStart"/>
      <w:r w:rsidR="008E5B10" w:rsidRPr="006A5FDF">
        <w:rPr>
          <w:b/>
          <w:bCs/>
          <w:sz w:val="28"/>
          <w:szCs w:val="28"/>
        </w:rPr>
        <w:t xml:space="preserve">14,139,712.54 </w:t>
      </w:r>
      <w:r w:rsidRPr="006A5FDF">
        <w:rPr>
          <w:sz w:val="28"/>
          <w:szCs w:val="28"/>
        </w:rPr>
        <w:t xml:space="preserve"> representing</w:t>
      </w:r>
      <w:proofErr w:type="gramEnd"/>
      <w:r w:rsidRPr="006A5FDF">
        <w:rPr>
          <w:sz w:val="28"/>
          <w:szCs w:val="28"/>
        </w:rPr>
        <w:t xml:space="preserve"> approximately </w:t>
      </w:r>
      <w:r w:rsidR="008E5B10" w:rsidRPr="006A5FDF">
        <w:rPr>
          <w:sz w:val="28"/>
          <w:szCs w:val="28"/>
        </w:rPr>
        <w:t>77</w:t>
      </w:r>
      <w:r w:rsidRPr="006A5FDF">
        <w:rPr>
          <w:sz w:val="28"/>
          <w:szCs w:val="28"/>
        </w:rPr>
        <w:t xml:space="preserve">% </w:t>
      </w:r>
      <w:r w:rsidR="008E5B10" w:rsidRPr="006A5FDF">
        <w:rPr>
          <w:sz w:val="28"/>
          <w:szCs w:val="28"/>
        </w:rPr>
        <w:t xml:space="preserve">of budgeted figure of GHs </w:t>
      </w:r>
      <w:r w:rsidR="008E5B10" w:rsidRPr="006A5FDF">
        <w:rPr>
          <w:b/>
          <w:bCs/>
          <w:sz w:val="28"/>
          <w:szCs w:val="28"/>
        </w:rPr>
        <w:t xml:space="preserve"> 18,446,338.61 </w:t>
      </w:r>
    </w:p>
    <w:p w:rsidR="00B729A4" w:rsidRPr="008E5B10" w:rsidRDefault="00B729A4" w:rsidP="008E5B10">
      <w:pPr>
        <w:pStyle w:val="ListParagraph"/>
        <w:ind w:left="1095"/>
        <w:rPr>
          <w:b/>
          <w:bCs/>
          <w:sz w:val="28"/>
          <w:szCs w:val="28"/>
        </w:rPr>
      </w:pPr>
    </w:p>
    <w:p w:rsidR="00B729A4" w:rsidRPr="000E1BF0" w:rsidRDefault="00B729A4" w:rsidP="000E1BF0">
      <w:pPr>
        <w:rPr>
          <w:b/>
          <w:sz w:val="28"/>
          <w:szCs w:val="28"/>
        </w:rPr>
      </w:pPr>
      <w:r w:rsidRPr="000E1BF0">
        <w:rPr>
          <w:b/>
          <w:sz w:val="28"/>
          <w:szCs w:val="28"/>
        </w:rPr>
        <w:t>Internally Generated Fund</w:t>
      </w:r>
    </w:p>
    <w:p w:rsidR="008E5B10" w:rsidRPr="000E1BF0" w:rsidRDefault="00B729A4" w:rsidP="000E1BF0">
      <w:pPr>
        <w:rPr>
          <w:b/>
          <w:bCs/>
          <w:sz w:val="28"/>
          <w:szCs w:val="28"/>
        </w:rPr>
      </w:pPr>
      <w:r w:rsidRPr="000E1BF0">
        <w:rPr>
          <w:sz w:val="28"/>
          <w:szCs w:val="28"/>
        </w:rPr>
        <w:t>Rev</w:t>
      </w:r>
      <w:r w:rsidR="00695173" w:rsidRPr="000E1BF0">
        <w:rPr>
          <w:sz w:val="28"/>
          <w:szCs w:val="28"/>
        </w:rPr>
        <w:t>enue amounting to GHS</w:t>
      </w:r>
      <w:r w:rsidR="008E5B10" w:rsidRPr="000E1BF0">
        <w:rPr>
          <w:sz w:val="28"/>
          <w:szCs w:val="28"/>
        </w:rPr>
        <w:t xml:space="preserve"> </w:t>
      </w:r>
      <w:r w:rsidR="008E5B10" w:rsidRPr="000E1BF0">
        <w:rPr>
          <w:b/>
          <w:bCs/>
          <w:sz w:val="28"/>
          <w:szCs w:val="28"/>
        </w:rPr>
        <w:t xml:space="preserve">6,123,685.51 </w:t>
      </w:r>
      <w:r w:rsidR="00695173" w:rsidRPr="000E1BF0">
        <w:rPr>
          <w:sz w:val="28"/>
          <w:szCs w:val="28"/>
        </w:rPr>
        <w:t xml:space="preserve">representing </w:t>
      </w:r>
      <w:r w:rsidR="008E5B10" w:rsidRPr="000E1BF0">
        <w:rPr>
          <w:sz w:val="28"/>
          <w:szCs w:val="28"/>
        </w:rPr>
        <w:t>117</w:t>
      </w:r>
      <w:r w:rsidRPr="000E1BF0">
        <w:rPr>
          <w:sz w:val="28"/>
          <w:szCs w:val="28"/>
        </w:rPr>
        <w:t xml:space="preserve"> % o</w:t>
      </w:r>
      <w:r w:rsidR="008E5B10" w:rsidRPr="000E1BF0">
        <w:rPr>
          <w:sz w:val="28"/>
          <w:szCs w:val="28"/>
        </w:rPr>
        <w:t>f the budgeted amount of GH</w:t>
      </w:r>
      <w:r w:rsidR="008E5B10" w:rsidRPr="000E1BF0">
        <w:rPr>
          <w:rFonts w:ascii="Cambria" w:eastAsia="Times New Roman" w:hAnsi="Cambria" w:cs="Calibri"/>
          <w:b/>
          <w:bCs/>
          <w:color w:val="000000"/>
        </w:rPr>
        <w:t xml:space="preserve">S 5,221,634.00 </w:t>
      </w:r>
    </w:p>
    <w:p w:rsidR="006A5FDF" w:rsidRDefault="006A5FDF" w:rsidP="000E1BF0">
      <w:pPr>
        <w:rPr>
          <w:sz w:val="28"/>
          <w:szCs w:val="28"/>
        </w:rPr>
      </w:pPr>
    </w:p>
    <w:p w:rsidR="00986568" w:rsidRPr="000E1BF0" w:rsidRDefault="00317415" w:rsidP="000E1BF0">
      <w:pPr>
        <w:rPr>
          <w:sz w:val="28"/>
          <w:szCs w:val="28"/>
        </w:rPr>
      </w:pPr>
      <w:r>
        <w:rPr>
          <w:b/>
          <w:sz w:val="28"/>
          <w:szCs w:val="28"/>
        </w:rPr>
        <w:t>1.5</w:t>
      </w:r>
      <w:r w:rsidR="006406A9" w:rsidRPr="000E1BF0">
        <w:rPr>
          <w:b/>
          <w:sz w:val="28"/>
          <w:szCs w:val="28"/>
        </w:rPr>
        <w:t xml:space="preserve"> </w:t>
      </w:r>
      <w:r w:rsidR="00026EC0" w:rsidRPr="000E1BF0">
        <w:rPr>
          <w:b/>
          <w:sz w:val="28"/>
          <w:szCs w:val="28"/>
        </w:rPr>
        <w:t>Grants</w:t>
      </w:r>
      <w:r w:rsidR="00026EC0" w:rsidRPr="000E1BF0">
        <w:rPr>
          <w:sz w:val="28"/>
          <w:szCs w:val="28"/>
        </w:rPr>
        <w:t xml:space="preserve"> received are </w:t>
      </w:r>
      <w:r w:rsidR="005832DD" w:rsidRPr="000E1BF0">
        <w:rPr>
          <w:sz w:val="28"/>
          <w:szCs w:val="28"/>
        </w:rPr>
        <w:t>recognized</w:t>
      </w:r>
      <w:r w:rsidR="00026EC0" w:rsidRPr="000E1BF0">
        <w:rPr>
          <w:sz w:val="28"/>
          <w:szCs w:val="28"/>
        </w:rPr>
        <w:t xml:space="preserve"> </w:t>
      </w:r>
      <w:r w:rsidR="005832DD" w:rsidRPr="000E1BF0">
        <w:rPr>
          <w:sz w:val="28"/>
          <w:szCs w:val="28"/>
        </w:rPr>
        <w:t>when</w:t>
      </w:r>
      <w:r w:rsidR="00026EC0" w:rsidRPr="000E1BF0">
        <w:rPr>
          <w:sz w:val="28"/>
          <w:szCs w:val="28"/>
        </w:rPr>
        <w:t xml:space="preserve"> the </w:t>
      </w:r>
      <w:r w:rsidR="005832DD" w:rsidRPr="000E1BF0">
        <w:rPr>
          <w:sz w:val="28"/>
          <w:szCs w:val="28"/>
        </w:rPr>
        <w:t>money are</w:t>
      </w:r>
      <w:r w:rsidR="00026EC0" w:rsidRPr="000E1BF0">
        <w:rPr>
          <w:sz w:val="28"/>
          <w:szCs w:val="28"/>
        </w:rPr>
        <w:t xml:space="preserve"> credited to the</w:t>
      </w:r>
      <w:r w:rsidR="00986568" w:rsidRPr="000E1BF0">
        <w:rPr>
          <w:sz w:val="28"/>
          <w:szCs w:val="28"/>
        </w:rPr>
        <w:t xml:space="preserve"> Accounts of the Ga East Municipal Assembly (GEMA) and expenses when disbursed</w:t>
      </w:r>
      <w:r w:rsidR="00443524" w:rsidRPr="000E1BF0">
        <w:rPr>
          <w:sz w:val="28"/>
          <w:szCs w:val="28"/>
        </w:rPr>
        <w:t>.</w:t>
      </w:r>
      <w:r w:rsidR="00695173" w:rsidRPr="000E1BF0">
        <w:rPr>
          <w:sz w:val="28"/>
          <w:szCs w:val="28"/>
        </w:rPr>
        <w:t xml:space="preserve"> </w:t>
      </w:r>
      <w:r w:rsidR="00443524" w:rsidRPr="000E1BF0">
        <w:rPr>
          <w:sz w:val="28"/>
          <w:szCs w:val="28"/>
        </w:rPr>
        <w:t>Specifically grants are treated as marching revenue during disbursement, while under disbursed balances are treated as deferred inflows.</w:t>
      </w:r>
    </w:p>
    <w:p w:rsidR="008E5B10" w:rsidRPr="002C1633" w:rsidRDefault="00B729A4" w:rsidP="008E5B10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C1633">
        <w:rPr>
          <w:rFonts w:cstheme="minorHAnsi"/>
          <w:sz w:val="28"/>
          <w:szCs w:val="28"/>
        </w:rPr>
        <w:t xml:space="preserve"> Grants received</w:t>
      </w:r>
      <w:r w:rsidR="00F90C23" w:rsidRPr="002C1633">
        <w:rPr>
          <w:rFonts w:cstheme="minorHAnsi"/>
          <w:sz w:val="28"/>
          <w:szCs w:val="28"/>
        </w:rPr>
        <w:t xml:space="preserve"> for the year was GHS</w:t>
      </w:r>
      <w:r w:rsidR="000E1BF0" w:rsidRPr="002C1633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="008E5B10" w:rsidRPr="002C1633">
        <w:rPr>
          <w:rFonts w:eastAsia="Times New Roman" w:cstheme="minorHAnsi"/>
          <w:b/>
          <w:bCs/>
          <w:color w:val="000000"/>
          <w:sz w:val="28"/>
          <w:szCs w:val="28"/>
        </w:rPr>
        <w:t xml:space="preserve">8,016,027.03 </w:t>
      </w:r>
      <w:r w:rsidR="00F90C23" w:rsidRPr="002C1633">
        <w:rPr>
          <w:rFonts w:cstheme="minorHAnsi"/>
          <w:sz w:val="28"/>
          <w:szCs w:val="28"/>
        </w:rPr>
        <w:t xml:space="preserve">representing </w:t>
      </w:r>
      <w:r w:rsidR="008E5B10" w:rsidRPr="002C1633">
        <w:rPr>
          <w:rFonts w:cstheme="minorHAnsi"/>
          <w:sz w:val="28"/>
          <w:szCs w:val="28"/>
        </w:rPr>
        <w:t>61% of the budgeted amount of GHs</w:t>
      </w:r>
      <w:r w:rsidRPr="002C1633">
        <w:rPr>
          <w:rFonts w:cstheme="minorHAnsi"/>
          <w:sz w:val="28"/>
          <w:szCs w:val="28"/>
        </w:rPr>
        <w:t xml:space="preserve"> </w:t>
      </w:r>
      <w:r w:rsidR="008E5B10" w:rsidRPr="002C1633">
        <w:rPr>
          <w:rFonts w:eastAsia="Times New Roman" w:cstheme="minorHAnsi"/>
          <w:b/>
          <w:bCs/>
          <w:color w:val="000000"/>
          <w:sz w:val="28"/>
          <w:szCs w:val="28"/>
        </w:rPr>
        <w:t xml:space="preserve">13,224,704.61 </w:t>
      </w:r>
    </w:p>
    <w:p w:rsidR="006A5FDF" w:rsidRDefault="002C1633" w:rsidP="006A5FDF">
      <w:pPr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 xml:space="preserve">DACF </w:t>
      </w:r>
      <w:r w:rsidR="008D6F87">
        <w:rPr>
          <w:rFonts w:eastAsia="Times New Roman" w:cstheme="minorHAnsi"/>
          <w:bCs/>
          <w:color w:val="000000"/>
          <w:sz w:val="28"/>
          <w:szCs w:val="28"/>
        </w:rPr>
        <w:t xml:space="preserve">grant of GHS </w:t>
      </w:r>
      <w:r w:rsidR="008D6F87" w:rsidRPr="002C1633">
        <w:rPr>
          <w:rFonts w:eastAsia="Times New Roman" w:cstheme="minorHAnsi"/>
          <w:sz w:val="28"/>
          <w:szCs w:val="28"/>
        </w:rPr>
        <w:t>2,382,218.22</w:t>
      </w:r>
      <w:r w:rsidR="008D6F87" w:rsidRPr="002C1633">
        <w:rPr>
          <w:rFonts w:eastAsia="Times New Roman" w:cstheme="minorHAnsi"/>
          <w:bCs/>
          <w:color w:val="000000"/>
          <w:sz w:val="28"/>
          <w:szCs w:val="28"/>
        </w:rPr>
        <w:t xml:space="preserve"> is</w:t>
      </w:r>
      <w:r w:rsidR="008D6F87">
        <w:rPr>
          <w:rFonts w:eastAsia="Times New Roman" w:cstheme="minorHAnsi"/>
          <w:bCs/>
          <w:color w:val="000000"/>
          <w:sz w:val="28"/>
          <w:szCs w:val="28"/>
        </w:rPr>
        <w:t xml:space="preserve"> gross amount. However, an amount of </w:t>
      </w:r>
      <w:r w:rsidR="000E1BF0" w:rsidRPr="002C1633">
        <w:rPr>
          <w:rFonts w:eastAsia="Times New Roman" w:cstheme="minorHAnsi"/>
          <w:bCs/>
          <w:color w:val="000000"/>
          <w:sz w:val="28"/>
          <w:szCs w:val="28"/>
        </w:rPr>
        <w:t>GHS</w:t>
      </w:r>
      <w:r w:rsidR="008D6F87">
        <w:rPr>
          <w:rFonts w:eastAsia="Times New Roman" w:cstheme="minorHAnsi"/>
          <w:bCs/>
          <w:color w:val="000000"/>
          <w:sz w:val="28"/>
          <w:szCs w:val="28"/>
        </w:rPr>
        <w:t xml:space="preserve"> 525,197.95 </w:t>
      </w:r>
      <w:r w:rsidR="000E1BF0" w:rsidRPr="002C1633">
        <w:rPr>
          <w:rFonts w:eastAsia="Times New Roman" w:cstheme="minorHAnsi"/>
          <w:bCs/>
          <w:color w:val="000000"/>
          <w:sz w:val="28"/>
          <w:szCs w:val="28"/>
        </w:rPr>
        <w:t>was deducted from sources by the</w:t>
      </w:r>
      <w:r w:rsidR="008D6F87">
        <w:rPr>
          <w:rFonts w:eastAsia="Times New Roman" w:cstheme="minorHAnsi"/>
          <w:bCs/>
          <w:color w:val="000000"/>
          <w:sz w:val="28"/>
          <w:szCs w:val="28"/>
        </w:rPr>
        <w:t xml:space="preserve"> District </w:t>
      </w:r>
      <w:r w:rsidR="000E1BF0" w:rsidRPr="002C1633">
        <w:rPr>
          <w:rFonts w:eastAsia="Times New Roman" w:cstheme="minorHAnsi"/>
          <w:bCs/>
          <w:color w:val="000000"/>
          <w:sz w:val="28"/>
          <w:szCs w:val="28"/>
        </w:rPr>
        <w:t>Common Fund Administrator</w:t>
      </w:r>
    </w:p>
    <w:p w:rsidR="005832DD" w:rsidRPr="006A5FDF" w:rsidRDefault="00317415" w:rsidP="006A5FDF">
      <w:pPr>
        <w:rPr>
          <w:rFonts w:asciiTheme="majorHAnsi" w:eastAsia="Times New Roman" w:hAnsiTheme="majorHAnsi" w:cstheme="min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1.6 </w:t>
      </w:r>
      <w:r w:rsidR="006A5FDF" w:rsidRPr="006A5FDF">
        <w:rPr>
          <w:rFonts w:asciiTheme="majorHAnsi" w:hAnsiTheme="majorHAnsi"/>
          <w:b/>
          <w:sz w:val="28"/>
          <w:szCs w:val="28"/>
        </w:rPr>
        <w:t>Expenditure</w:t>
      </w:r>
      <w:r w:rsidR="00986568" w:rsidRPr="006A5FDF">
        <w:rPr>
          <w:rFonts w:asciiTheme="majorHAnsi" w:hAnsiTheme="majorHAnsi"/>
          <w:b/>
          <w:sz w:val="28"/>
          <w:szCs w:val="28"/>
        </w:rPr>
        <w:t xml:space="preserve">                              </w:t>
      </w:r>
      <w:r w:rsidR="00026EC0" w:rsidRPr="006A5FDF">
        <w:rPr>
          <w:rFonts w:asciiTheme="majorHAnsi" w:hAnsiTheme="majorHAnsi"/>
          <w:b/>
          <w:sz w:val="28"/>
          <w:szCs w:val="28"/>
        </w:rPr>
        <w:t xml:space="preserve"> </w:t>
      </w:r>
    </w:p>
    <w:p w:rsidR="004B4183" w:rsidRPr="002C1633" w:rsidRDefault="005832DD" w:rsidP="002C1633">
      <w:pPr>
        <w:rPr>
          <w:sz w:val="28"/>
          <w:szCs w:val="28"/>
        </w:rPr>
      </w:pPr>
      <w:r w:rsidRPr="002C1633">
        <w:rPr>
          <w:sz w:val="28"/>
          <w:szCs w:val="28"/>
        </w:rPr>
        <w:t xml:space="preserve">The reported expenditure on the financial statement is recognized when </w:t>
      </w:r>
      <w:r w:rsidR="004B4183" w:rsidRPr="002C1633">
        <w:rPr>
          <w:sz w:val="28"/>
          <w:szCs w:val="28"/>
        </w:rPr>
        <w:t>goods and services are received and paid for.</w:t>
      </w:r>
    </w:p>
    <w:p w:rsidR="00073638" w:rsidRPr="002C1633" w:rsidRDefault="00073638" w:rsidP="002C1633">
      <w:pPr>
        <w:rPr>
          <w:b/>
          <w:sz w:val="28"/>
          <w:szCs w:val="28"/>
        </w:rPr>
      </w:pPr>
      <w:r w:rsidRPr="002C1633">
        <w:rPr>
          <w:b/>
          <w:sz w:val="28"/>
          <w:szCs w:val="28"/>
        </w:rPr>
        <w:t xml:space="preserve">Assets </w:t>
      </w:r>
    </w:p>
    <w:p w:rsidR="00073638" w:rsidRPr="002C1633" w:rsidRDefault="00073638" w:rsidP="002C1633">
      <w:pPr>
        <w:rPr>
          <w:sz w:val="28"/>
          <w:szCs w:val="28"/>
        </w:rPr>
      </w:pPr>
      <w:r w:rsidRPr="002C1633">
        <w:rPr>
          <w:sz w:val="28"/>
          <w:szCs w:val="28"/>
        </w:rPr>
        <w:t xml:space="preserve">Fixed Assets acquired during the </w:t>
      </w:r>
      <w:r w:rsidR="00986568" w:rsidRPr="002C1633">
        <w:rPr>
          <w:sz w:val="28"/>
          <w:szCs w:val="28"/>
        </w:rPr>
        <w:t>year are written off in the</w:t>
      </w:r>
      <w:r w:rsidRPr="002C1633">
        <w:rPr>
          <w:sz w:val="28"/>
          <w:szCs w:val="28"/>
        </w:rPr>
        <w:t xml:space="preserve"> expenditure statement</w:t>
      </w:r>
    </w:p>
    <w:p w:rsidR="00073638" w:rsidRDefault="002C1633" w:rsidP="002C1633">
      <w:pPr>
        <w:rPr>
          <w:b/>
          <w:sz w:val="28"/>
          <w:szCs w:val="28"/>
        </w:rPr>
      </w:pPr>
      <w:r w:rsidRPr="002C1633">
        <w:rPr>
          <w:b/>
          <w:sz w:val="28"/>
          <w:szCs w:val="28"/>
        </w:rPr>
        <w:lastRenderedPageBreak/>
        <w:t>Current Asset</w:t>
      </w:r>
    </w:p>
    <w:p w:rsidR="00073638" w:rsidRDefault="00BC1BCB" w:rsidP="00BC1BCB">
      <w:pPr>
        <w:rPr>
          <w:sz w:val="28"/>
          <w:szCs w:val="28"/>
        </w:rPr>
      </w:pPr>
      <w:r>
        <w:rPr>
          <w:sz w:val="28"/>
          <w:szCs w:val="28"/>
        </w:rPr>
        <w:t>Cash &amp; cash equivalent amounting t</w:t>
      </w:r>
      <w:r w:rsidR="00177F6F">
        <w:rPr>
          <w:sz w:val="28"/>
          <w:szCs w:val="28"/>
        </w:rPr>
        <w:t xml:space="preserve">o GHS </w:t>
      </w:r>
      <w:proofErr w:type="gramStart"/>
      <w:r w:rsidR="00177F6F">
        <w:rPr>
          <w:sz w:val="28"/>
          <w:szCs w:val="28"/>
        </w:rPr>
        <w:t>817,</w:t>
      </w:r>
      <w:r>
        <w:rPr>
          <w:sz w:val="28"/>
          <w:szCs w:val="28"/>
        </w:rPr>
        <w:t xml:space="preserve">682.07  </w:t>
      </w:r>
      <w:r w:rsidR="00073638" w:rsidRPr="00BC1BCB">
        <w:rPr>
          <w:sz w:val="28"/>
          <w:szCs w:val="28"/>
        </w:rPr>
        <w:t>is</w:t>
      </w:r>
      <w:proofErr w:type="gramEnd"/>
      <w:r w:rsidR="00073638" w:rsidRPr="00BC1BCB">
        <w:rPr>
          <w:sz w:val="28"/>
          <w:szCs w:val="28"/>
        </w:rPr>
        <w:t xml:space="preserve"> </w:t>
      </w:r>
      <w:r w:rsidR="00986568" w:rsidRPr="00BC1BCB">
        <w:rPr>
          <w:sz w:val="28"/>
          <w:szCs w:val="28"/>
        </w:rPr>
        <w:t>restricted</w:t>
      </w:r>
      <w:r w:rsidR="00073638" w:rsidRPr="00BC1BCB">
        <w:rPr>
          <w:sz w:val="28"/>
          <w:szCs w:val="28"/>
        </w:rPr>
        <w:t xml:space="preserve"> to cash on hand and balances on bank accounts</w:t>
      </w:r>
      <w:r>
        <w:rPr>
          <w:sz w:val="28"/>
          <w:szCs w:val="28"/>
        </w:rPr>
        <w:t xml:space="preserve"> as at year ending 31</w:t>
      </w:r>
      <w:r w:rsidRPr="00BC1BC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December,2019</w:t>
      </w:r>
    </w:p>
    <w:p w:rsidR="00317415" w:rsidRDefault="00317415" w:rsidP="00BC1BCB">
      <w:pPr>
        <w:rPr>
          <w:sz w:val="28"/>
          <w:szCs w:val="28"/>
        </w:rPr>
      </w:pPr>
    </w:p>
    <w:p w:rsidR="00BC1BCB" w:rsidRPr="006A5FDF" w:rsidRDefault="00BC1BCB" w:rsidP="00BC1BCB">
      <w:pPr>
        <w:spacing w:after="0" w:line="240" w:lineRule="auto"/>
        <w:rPr>
          <w:rFonts w:asciiTheme="majorHAnsi" w:eastAsia="Times New Roman" w:hAnsiTheme="majorHAnsi" w:cs="Calibri"/>
          <w:b/>
          <w:color w:val="000000"/>
          <w:sz w:val="28"/>
          <w:szCs w:val="28"/>
        </w:rPr>
      </w:pPr>
      <w:r w:rsidRPr="006A5FDF">
        <w:rPr>
          <w:rFonts w:asciiTheme="majorHAnsi" w:eastAsia="Times New Roman" w:hAnsiTheme="majorHAnsi" w:cs="Calibri"/>
          <w:b/>
          <w:color w:val="000000"/>
          <w:sz w:val="28"/>
          <w:szCs w:val="28"/>
        </w:rPr>
        <w:t>Advances</w:t>
      </w:r>
      <w:r w:rsidR="006A5FDF">
        <w:rPr>
          <w:rFonts w:asciiTheme="majorHAnsi" w:eastAsia="Times New Roman" w:hAnsiTheme="majorHAnsi" w:cs="Calibri"/>
          <w:b/>
          <w:color w:val="000000"/>
          <w:sz w:val="28"/>
          <w:szCs w:val="28"/>
        </w:rPr>
        <w:t xml:space="preserve"> </w:t>
      </w:r>
      <w:r w:rsidRPr="006A5FDF">
        <w:rPr>
          <w:rFonts w:asciiTheme="majorHAnsi" w:eastAsia="Times New Roman" w:hAnsiTheme="majorHAnsi" w:cs="Calibri"/>
          <w:b/>
          <w:color w:val="000000"/>
          <w:sz w:val="28"/>
          <w:szCs w:val="28"/>
        </w:rPr>
        <w:t>(Staff</w:t>
      </w:r>
      <w:r w:rsidR="006A5FDF">
        <w:rPr>
          <w:rFonts w:asciiTheme="majorHAnsi" w:eastAsia="Times New Roman" w:hAnsiTheme="majorHAnsi" w:cs="Calibri"/>
          <w:b/>
          <w:color w:val="000000"/>
          <w:sz w:val="28"/>
          <w:szCs w:val="28"/>
        </w:rPr>
        <w:t xml:space="preserve">s </w:t>
      </w:r>
      <w:r w:rsidRPr="006A5FDF">
        <w:rPr>
          <w:rFonts w:asciiTheme="majorHAnsi" w:eastAsia="Times New Roman" w:hAnsiTheme="majorHAnsi" w:cs="Calibri"/>
          <w:b/>
          <w:color w:val="000000"/>
          <w:sz w:val="28"/>
          <w:szCs w:val="28"/>
        </w:rPr>
        <w:t>&amp;Others)</w:t>
      </w:r>
    </w:p>
    <w:p w:rsidR="006A5FDF" w:rsidRPr="006A5FDF" w:rsidRDefault="006A5FDF" w:rsidP="00BC1BCB">
      <w:pPr>
        <w:spacing w:after="0" w:line="240" w:lineRule="auto"/>
        <w:rPr>
          <w:rFonts w:asciiTheme="majorHAnsi" w:eastAsia="Times New Roman" w:hAnsiTheme="majorHAnsi" w:cs="Calibri"/>
          <w:b/>
          <w:color w:val="000000"/>
          <w:sz w:val="24"/>
          <w:szCs w:val="24"/>
        </w:rPr>
      </w:pPr>
    </w:p>
    <w:p w:rsidR="008D6F87" w:rsidRPr="006A5FDF" w:rsidRDefault="008D6F87" w:rsidP="00BC1BCB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6A5FDF">
        <w:rPr>
          <w:rFonts w:eastAsia="Times New Roman" w:cstheme="minorHAnsi"/>
          <w:color w:val="000000"/>
          <w:sz w:val="28"/>
          <w:szCs w:val="28"/>
        </w:rPr>
        <w:t>Advance comprises of Staff advance of an amount GHs</w:t>
      </w:r>
      <w:r w:rsidR="006A5FDF">
        <w:rPr>
          <w:rFonts w:eastAsia="Times New Roman" w:cstheme="minorHAnsi"/>
          <w:color w:val="000000"/>
          <w:sz w:val="28"/>
          <w:szCs w:val="28"/>
        </w:rPr>
        <w:t xml:space="preserve"> 51,942.49, R</w:t>
      </w:r>
      <w:r w:rsidR="00317415">
        <w:rPr>
          <w:rFonts w:eastAsia="Times New Roman" w:cstheme="minorHAnsi"/>
          <w:color w:val="000000"/>
          <w:sz w:val="28"/>
          <w:szCs w:val="28"/>
        </w:rPr>
        <w:t>evolv</w:t>
      </w:r>
      <w:r w:rsidR="006A5FDF">
        <w:rPr>
          <w:rFonts w:eastAsia="Times New Roman" w:cstheme="minorHAnsi"/>
          <w:color w:val="000000"/>
          <w:sz w:val="28"/>
          <w:szCs w:val="28"/>
        </w:rPr>
        <w:t>ing Fund for S</w:t>
      </w:r>
      <w:r w:rsidRPr="006A5FDF">
        <w:rPr>
          <w:rFonts w:eastAsia="Times New Roman" w:cstheme="minorHAnsi"/>
          <w:color w:val="000000"/>
          <w:sz w:val="28"/>
          <w:szCs w:val="28"/>
        </w:rPr>
        <w:t xml:space="preserve">mall Scale </w:t>
      </w:r>
      <w:r w:rsidR="006A5FDF">
        <w:rPr>
          <w:rFonts w:eastAsia="Times New Roman" w:cstheme="minorHAnsi"/>
          <w:color w:val="000000"/>
          <w:sz w:val="28"/>
          <w:szCs w:val="28"/>
        </w:rPr>
        <w:t>B</w:t>
      </w:r>
      <w:r w:rsidR="006344A6" w:rsidRPr="006A5FDF">
        <w:rPr>
          <w:rFonts w:eastAsia="Times New Roman" w:cstheme="minorHAnsi"/>
          <w:color w:val="000000"/>
          <w:sz w:val="28"/>
          <w:szCs w:val="28"/>
        </w:rPr>
        <w:t xml:space="preserve">usiness </w:t>
      </w:r>
      <w:r w:rsidR="00317415" w:rsidRPr="006A5FDF">
        <w:rPr>
          <w:rFonts w:eastAsia="Times New Roman" w:cstheme="minorHAnsi"/>
          <w:color w:val="000000"/>
          <w:sz w:val="28"/>
          <w:szCs w:val="28"/>
        </w:rPr>
        <w:t>Centre</w:t>
      </w:r>
      <w:r w:rsidR="006A5FDF" w:rsidRPr="006A5FD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A5FDF">
        <w:rPr>
          <w:rFonts w:eastAsia="Times New Roman" w:cstheme="minorHAnsi"/>
          <w:color w:val="000000"/>
          <w:sz w:val="28"/>
          <w:szCs w:val="28"/>
        </w:rPr>
        <w:t>GHS</w:t>
      </w:r>
      <w:r w:rsidR="006A5FDF" w:rsidRPr="006A5FDF">
        <w:rPr>
          <w:rFonts w:eastAsia="Times New Roman" w:cstheme="minorHAnsi"/>
          <w:color w:val="000000"/>
          <w:sz w:val="28"/>
          <w:szCs w:val="28"/>
        </w:rPr>
        <w:t>30</w:t>
      </w:r>
      <w:r w:rsidR="006A5FDF">
        <w:rPr>
          <w:rFonts w:eastAsia="Times New Roman" w:cstheme="minorHAnsi"/>
          <w:color w:val="000000"/>
          <w:sz w:val="28"/>
          <w:szCs w:val="28"/>
        </w:rPr>
        <w:t>,</w:t>
      </w:r>
      <w:r w:rsidR="006A5FDF" w:rsidRPr="006A5FDF">
        <w:rPr>
          <w:rFonts w:eastAsia="Times New Roman" w:cstheme="minorHAnsi"/>
          <w:color w:val="000000"/>
          <w:sz w:val="28"/>
          <w:szCs w:val="28"/>
        </w:rPr>
        <w:t xml:space="preserve"> 000.00 </w:t>
      </w:r>
      <w:r w:rsidR="006A5FDF">
        <w:rPr>
          <w:rFonts w:eastAsia="Times New Roman" w:cstheme="minorHAnsi"/>
          <w:color w:val="000000"/>
          <w:sz w:val="28"/>
          <w:szCs w:val="28"/>
        </w:rPr>
        <w:t>and MP R</w:t>
      </w:r>
      <w:r w:rsidR="00317415">
        <w:rPr>
          <w:rFonts w:eastAsia="Times New Roman" w:cstheme="minorHAnsi"/>
          <w:color w:val="000000"/>
          <w:sz w:val="28"/>
          <w:szCs w:val="28"/>
        </w:rPr>
        <w:t>evolving</w:t>
      </w:r>
      <w:r w:rsidR="006344A6" w:rsidRPr="006A5FDF">
        <w:rPr>
          <w:rFonts w:eastAsia="Times New Roman" w:cstheme="minorHAnsi"/>
          <w:color w:val="000000"/>
          <w:sz w:val="28"/>
          <w:szCs w:val="28"/>
        </w:rPr>
        <w:t xml:space="preserve"> Fund</w:t>
      </w:r>
      <w:r w:rsidR="00177F6F" w:rsidRPr="006A5FDF">
        <w:rPr>
          <w:rFonts w:eastAsia="Times New Roman" w:cstheme="minorHAnsi"/>
          <w:color w:val="000000"/>
          <w:sz w:val="28"/>
          <w:szCs w:val="28"/>
        </w:rPr>
        <w:t xml:space="preserve"> to traders in the municipality</w:t>
      </w:r>
      <w:r w:rsidR="006A5FDF" w:rsidRPr="006A5FDF">
        <w:rPr>
          <w:rFonts w:eastAsia="Times New Roman" w:cstheme="minorHAnsi"/>
          <w:color w:val="000000"/>
          <w:sz w:val="28"/>
          <w:szCs w:val="28"/>
        </w:rPr>
        <w:t xml:space="preserve"> GHS 250,000.00</w:t>
      </w:r>
    </w:p>
    <w:p w:rsidR="00BC1BCB" w:rsidRPr="006A5FDF" w:rsidRDefault="00BC1BCB" w:rsidP="00BC1BCB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BC1BCB" w:rsidRPr="006A5FDF" w:rsidRDefault="00BC1BCB" w:rsidP="00BC1BCB">
      <w:pPr>
        <w:rPr>
          <w:rFonts w:cstheme="minorHAnsi"/>
          <w:sz w:val="28"/>
          <w:szCs w:val="28"/>
        </w:rPr>
      </w:pPr>
    </w:p>
    <w:p w:rsidR="005832DD" w:rsidRPr="006A5FDF" w:rsidRDefault="005832DD" w:rsidP="005832DD">
      <w:pPr>
        <w:pStyle w:val="ListParagraph"/>
        <w:ind w:left="1095"/>
        <w:rPr>
          <w:rFonts w:cstheme="minorHAnsi"/>
          <w:sz w:val="28"/>
          <w:szCs w:val="28"/>
        </w:rPr>
      </w:pPr>
    </w:p>
    <w:sectPr w:rsidR="005832DD" w:rsidRPr="006A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12DBB"/>
    <w:multiLevelType w:val="multilevel"/>
    <w:tmpl w:val="2C90F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D481403"/>
    <w:multiLevelType w:val="multilevel"/>
    <w:tmpl w:val="FA064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0"/>
    <w:rsid w:val="000173B3"/>
    <w:rsid w:val="00026EC0"/>
    <w:rsid w:val="00073638"/>
    <w:rsid w:val="000A13B4"/>
    <w:rsid w:val="000E1BF0"/>
    <w:rsid w:val="001043E6"/>
    <w:rsid w:val="00177F6F"/>
    <w:rsid w:val="001A24A6"/>
    <w:rsid w:val="00237400"/>
    <w:rsid w:val="002902F6"/>
    <w:rsid w:val="002C1633"/>
    <w:rsid w:val="002C21A2"/>
    <w:rsid w:val="00317415"/>
    <w:rsid w:val="00345525"/>
    <w:rsid w:val="003931AF"/>
    <w:rsid w:val="00443524"/>
    <w:rsid w:val="004B4183"/>
    <w:rsid w:val="005455F3"/>
    <w:rsid w:val="005832DD"/>
    <w:rsid w:val="006344A6"/>
    <w:rsid w:val="006406A9"/>
    <w:rsid w:val="00695173"/>
    <w:rsid w:val="006A5FDF"/>
    <w:rsid w:val="008D6F87"/>
    <w:rsid w:val="008E5B10"/>
    <w:rsid w:val="00986568"/>
    <w:rsid w:val="00B729A4"/>
    <w:rsid w:val="00BC1BCB"/>
    <w:rsid w:val="00BF5CF1"/>
    <w:rsid w:val="00C1070A"/>
    <w:rsid w:val="00F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</dc:creator>
  <cp:lastModifiedBy>hp</cp:lastModifiedBy>
  <cp:revision>2</cp:revision>
  <cp:lastPrinted>2020-05-12T16:11:00Z</cp:lastPrinted>
  <dcterms:created xsi:type="dcterms:W3CDTF">2020-06-05T14:56:00Z</dcterms:created>
  <dcterms:modified xsi:type="dcterms:W3CDTF">2020-06-05T14:56:00Z</dcterms:modified>
</cp:coreProperties>
</file>