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Login page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Instead of the text that says “Welcome to Guardian Securities!”, client would like it to say “Velkommen til Guardian Service Group.”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Employee Section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Creating a Jop Rapport:</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After creating an alarm and adding a remark, the actual remark is not added. However, the word “Remark” shows up twice.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Missing general comments added to the job rapport. Only the alarm section has an option to add comments. Client asks that the comment section for the rapport doesn’t have a limit, if possible, the comments for a rapport can sometimes fill a few pages worth of text.</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Every single doormen added to a job rapport has to have their own time set in the rapport section. There’s a screenshot of this in the requirement document. Keep the function for adding doormen as it is, but add a section for each doorman to have their own time on the job rapport. Not all doormen on the same assignment has the same working hours.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When the doormen signs the document, his name is chosen from a dropdown menu where you can chose between the doormen added to the assignment. Client would like it to be fillable text instead, like how the Venues sign it. Some job rapports are not always signed by a doorman on the job.</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Add a small text field above the signatures area where you fill out who is signing: Left side reads “GSG Staff” and right side read the name of the Venue chosen.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Admin Section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Job Rapport Section: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None of the rapports made shows up in this section.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Client would like a column added here that tells the date and time of the creation of the Job Rapports.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Job Rapport section can show “Weekly Rapport”. Client would also like a “Monthly Rapport”.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Add Employee section</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When writing the CPR number, the box should have 10 numbers. No more, no less.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Faq Section: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What is “Content”?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General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Ratings Section:</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When Employee, Ratings Officer or Admin looks at the Ratings, they can’t see more than the final score. They need to be able to view the actual Ratings done with all 5 Stars and comments so they can learn from them.</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Client asks how Employees with the same rating is calculated when it comes to showing who’s first? He’d like all draws won by the Employee with most jobs done.</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When giving a rating, the image section can only add a 2mb picture. That seems a bit on the low end.</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When giving a rating, no new Ratings show up on the list.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More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The final App needs to be in danish.</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Change all time formats from the PM/AM to a 24 hour setup.</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As wish for when the app is changed to danish language:</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Wherever “Week Days” are written, please change it to “Off Days”</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Keep Weekends as Weekends.</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Wherever the word “State” is used, change to “Regioner”.</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What are the “Banners” section?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18"/>
        <w:szCs w:val="18"/>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