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4"/>
          <w:szCs w:val="34"/>
        </w:rPr>
        <w:t xml:space="preserve">Muhammad Shehu Abubakar-Sadiq</w:t>
      </w:r>
    </w:p>
    <w:p>
      <w:pPr>
        <w:spacing w:after="20"/>
      </w:pPr>
      <w:r>
        <w:rPr>
          <w:color w:val="333333"/>
          <w:sz w:val="22"/>
          <w:szCs w:val="22"/>
        </w:rPr>
        <w:t xml:space="preserve">PhD in Computer Science — Information Systems Security</w:t>
      </w:r>
    </w:p>
    <w:p>
      <w:pPr>
        <w:pBdr>
          <w:bottom w:val="single" w:color="1F3864" w:sz="8" w:space="4"/>
        </w:pBdr>
        <w:spacing w:after="200"/>
      </w:pPr>
      <w:r>
        <w:rPr>
          <w:color w:val="555555"/>
          <w:sz w:val="18"/>
          <w:szCs w:val="18"/>
        </w:rPr>
        <w:t xml:space="preserve">msabubakar-sadiq.it@buk.edu.ng  |  Nigerian</w:t>
      </w:r>
    </w:p>
    <w:p>
      <w:pPr>
        <w:pStyle w:val="Heading1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Data protection and privacy leader with over 12 years across financial services, global technology, EU-funded research and academia. Deep operational command of the Nigeria Data Protection Act (NDPA) 2023, NDPC/GAID requirements, GDPR and CBN IT and cybersecurity standards. Proven in building privacy governance frameworks, authoring policies and standards, leading Data Protection Impact Assessments (DPIAs), designing 72-hour breach notification playbooks, running privacy audits and managing third-party processor due diligence. Former Fraud Prevention Consultant at Apple and Risk Officer at Unity Bank PLC, combining regulated-sector control experience with doctoral research on privacy-preserving identity architectures. Skilled at engaging regulators, executives, product teams and vendors, and at leading organisation-wide privacy training and compliance cultures.</w:t>
      </w:r>
    </w:p>
    <w:p>
      <w:pPr>
        <w:pStyle w:val="Heading1"/>
      </w:pPr>
      <w:r>
        <w:rPr>
          <w:b/>
          <w:bCs/>
          <w:color w:val="1F3864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NDPA 2023, NDPC &amp; GAID compliance  |  Privacy governance frameworks &amp; Binding Corporate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Policy, standards &amp; procedure development  |  DPIAs and privacy 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breach response &amp; regulatory notification  |  Privacy audits and DPCO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GDPR &amp; cross-border data transfers  |  RoPA, retention schedules &amp; data lifecycle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Third-party processor due diligence &amp; DPAs  |  DSARs and data subject rights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CBN IT &amp; cybersecurity standards  |  ISO/IEC 27001 and NIST Cybersecurity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Privacy by design and by default  |  Fraud risk, AML and KYC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Leadership, regulator liaison and enterprise-wide privacy training</w:t>
      </w:r>
    </w:p>
    <w:p>
      <w:pPr>
        <w:pStyle w:val="Heading1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Teaching Fellow — Cyber Security &amp; Data Protection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University of Leicester, School of Computing and Mathematical Sciences</w:t>
      </w:r>
      <w:r>
        <w:rPr>
          <w:color w:val="555555"/>
          <w:sz w:val="18"/>
          <w:szCs w:val="18"/>
        </w:rPr>
        <w:t xml:space="preserve">  |  Jan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Teach data protection law and practice (NDPA 2023, GDPR, UK DPA), privacy engineering and information assurance to postgraduate cohorts.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Advise on DPIA methodology, lawful basis analysis and privacy-by-design for applied industry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Track regulatory developments and translate them into practical compliance guidance.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Cyber Security Post-Doctoral Research Fellow — Privacy &amp; Digital Trust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University of Surrey — DECaDE Centre (£6M EPSRC national programme)</w:t>
      </w:r>
      <w:r>
        <w:rPr>
          <w:color w:val="555555"/>
          <w:sz w:val="18"/>
          <w:szCs w:val="18"/>
        </w:rPr>
        <w:t xml:space="preserve">  |  May 2024 – Dec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privacy-preserving data architectures enforcing lawfulness, minimisation, purpose limitation, storage limitation and confidentiality.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DPIA-style assessments of identity, reputation and data-sharing systems prior to deployment, documenting risks to data subjects and mitigations.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Published peer-reviewed analysis of GDPR compliance in decentralised identity (IEEE EuroS&amp;PW; Springer LNCS).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Presented findings on a secure, privacy-respecting digital economy to the House of Lords and industry partners.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Fraud Prevention Consultant — Payments &amp; Customer Data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Apple Inc. (via Majorel), Portugal</w:t>
      </w:r>
      <w:r>
        <w:rPr>
          <w:color w:val="555555"/>
          <w:sz w:val="18"/>
          <w:szCs w:val="18"/>
        </w:rPr>
        <w:t xml:space="preserve">  |  Jun 2020 – Mar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Safeguarded customer payment and personal data in a high-volume, highly regulated payments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Investigated fraud and data-integrity incidents (VISA CAMS, FICO) under strict confidentiality, least-privilege access and full audit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Contributed to control rules, incident documentation and post-incident reviews equivalent to breach registers and closure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Worked within tokenisation and encryption controls for sensitive financial data — directly transferable to merchant acquiring and agency banking.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Researcher — Identity, Privacy &amp; Data Governance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INESC TEC Porto (CRACS), Portugal</w:t>
      </w:r>
      <w:r>
        <w:rPr>
          <w:color w:val="555555"/>
          <w:sz w:val="18"/>
          <w:szCs w:val="18"/>
        </w:rPr>
        <w:t xml:space="preserve">  |  Sep 2017 –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GDPR-compliant identity, consent and mandate-delegation flows (OAuth 2.0, SAML, Shibboleth) for enterprise and public-sector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Defined data lifecycle, retention, access-control and processing-record policies aligned to GDPR, ISO/IEC 27001 and NIST.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Contributed to Nanostima (€2.5M EU Horizon 2020) secure health-data infrastructure adopted for Portugal's national COVID-19 vaccination tracking — special-category data at national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SPIDVerify, a privacy-preserving decentralised identity verification framework.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Lecturer — Information Security, Cyber Law &amp; Data Protection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Bayero University Kano, Nigeria</w:t>
      </w:r>
      <w:r>
        <w:rPr>
          <w:color w:val="555555"/>
          <w:sz w:val="18"/>
          <w:szCs w:val="18"/>
        </w:rPr>
        <w:t xml:space="preserve">  |  May 2015 –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delivered modules on the Nigerian data protection landscape (NITDA, NDPR, NDPA 2023), cyber law and information assurance.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institutional privacy and security awareness programmes for staff and students — comparable to enterprise-wide privacy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Advised on records handling, retention and access governance for institutional systems.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Relationship &amp; Risk Officer — Financial Services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Unity Bank PLC, Nigeria</w:t>
      </w:r>
      <w:r>
        <w:rPr>
          <w:color w:val="555555"/>
          <w:sz w:val="18"/>
          <w:szCs w:val="18"/>
        </w:rPr>
        <w:t xml:space="preserve">  |  Jul 2013 – Feb 2015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Performed KYC and customer due diligence in line with CBN AML/CFT requirements, handling customer data under strict confidentiality.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Assessed IT and operational risk across banking systems; recommended controls meeting regulatory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Prepared risk and compliance reports for senior management and delivered staff training on secure data handling.</w:t>
      </w:r>
    </w:p>
    <w:p>
      <w:pPr>
        <w:pStyle w:val="Heading1"/>
      </w:pPr>
      <w:r>
        <w:rPr>
          <w:b/>
          <w:bCs/>
          <w:color w:val="1F3864"/>
          <w:sz w:val="24"/>
          <w:szCs w:val="24"/>
        </w:rPr>
        <w:t xml:space="preserve">SELECTED DATA PRIVACY ENGAGEMENTS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Governance framework: designed privacy governance structures covering accountability, processing registers, cross-border transfer rules and binding internal data-use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DPIA programme: authored DPIA templates and gating processes covering lawful basis, necessity and proportionality, risk to data subjects and mitigations before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Breach response: built incident registers and 72-hour regulator notification playbooks with defined roles, escalation triggers and documented closure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Third-party assurance: created processor due-diligence checklists and DPA clause libraries for vendors, cloud providers and research partners.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subject rights: modelled end-to-end DSAR handling (access, rectification, erasure, restriction, objection, portability) within statutory timelines.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Privacy audits: conducted control reviews of processing records, retention schedules and access governance, with remediation tracking.</w:t>
      </w:r>
    </w:p>
    <w:p>
      <w:pPr>
        <w:pStyle w:val="Heading1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PhD, Computer Science — Information Systems Security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University of Porto, Portugal</w:t>
      </w:r>
      <w:r>
        <w:rPr>
          <w:color w:val="555555"/>
          <w:sz w:val="18"/>
          <w:szCs w:val="18"/>
        </w:rPr>
        <w:t xml:space="preserve">  |  2017 – 2023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Thesis: Establishing Secure and Privacy-Preserving Digital Identity with Self-Sovereign Identity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MSc, Business Information Systems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University of East London, United Kingdom</w:t>
      </w:r>
      <w:r>
        <w:rPr>
          <w:color w:val="555555"/>
          <w:sz w:val="18"/>
          <w:szCs w:val="18"/>
        </w:rPr>
        <w:t xml:space="preserve">  |  2011 – 2012</w:t>
      </w:r>
    </w:p>
    <w:p>
      <w:pPr>
        <w:spacing w:after="0" w:before="140"/>
      </w:pPr>
      <w:r>
        <w:rPr>
          <w:b/>
          <w:bCs/>
          <w:sz w:val="20"/>
          <w:szCs w:val="20"/>
        </w:rPr>
        <w:t xml:space="preserve">BSc, Computer Science — Digital Systems Security</w:t>
      </w:r>
    </w:p>
    <w:p>
      <w:pPr>
        <w:spacing w:after="60"/>
      </w:pPr>
      <w:r>
        <w:rPr>
          <w:i/>
          <w:iCs/>
          <w:color w:val="1F3864"/>
          <w:sz w:val="20"/>
          <w:szCs w:val="20"/>
        </w:rPr>
        <w:t xml:space="preserve">University of Wollongong, Australia</w:t>
      </w:r>
      <w:r>
        <w:rPr>
          <w:color w:val="555555"/>
          <w:sz w:val="18"/>
          <w:szCs w:val="18"/>
        </w:rPr>
        <w:t xml:space="preserve">  |  2007 – 2011</w:t>
      </w:r>
    </w:p>
    <w:p>
      <w:pPr>
        <w:pStyle w:val="Heading1"/>
      </w:pPr>
      <w:r>
        <w:rPr>
          <w:b/>
          <w:bCs/>
          <w:color w:val="1F3864"/>
          <w:sz w:val="24"/>
          <w:szCs w:val="24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GDPR Compliance — Information Security &amp; Data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ISO/IEC 27001 — Information Security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CIPM / CIPP —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Certified Ethical Hacker (CEH) training; CompTIA Security+ training; NIST Cybersecurity Framework practice</w:t>
      </w:r>
    </w:p>
    <w:p>
      <w:pPr>
        <w:pStyle w:val="Heading1"/>
      </w:pPr>
      <w:r>
        <w:rPr>
          <w:b/>
          <w:bCs/>
          <w:color w:val="1F3864"/>
          <w:sz w:val="24"/>
          <w:szCs w:val="24"/>
        </w:rPr>
        <w:t xml:space="preserve">SELECTED PUBLICATIONS — PRIVACY &amp; IDENTITY</w:t>
      </w:r>
    </w:p>
    <w:p>
      <w:pPr>
        <w:spacing w:after="100"/>
      </w:pPr>
      <w:r>
        <w:rPr>
          <w:sz w:val="20"/>
          <w:szCs w:val="20"/>
        </w:rPr>
        <w:t xml:space="preserve">Shehu, A.S. (2024). On the Compliance of Self-Sovereign Identity with GDPR Principles: A Critical Review. arXiv:2409.03624.</w:t>
      </w:r>
    </w:p>
    <w:p>
      <w:pPr>
        <w:spacing w:after="100"/>
      </w:pPr>
      <w:r>
        <w:rPr>
          <w:sz w:val="20"/>
          <w:szCs w:val="20"/>
        </w:rPr>
        <w:t xml:space="preserve">Shehu, A.S. &amp; Schneider, S. (2025). Decentralised supply chain reputation: A privacy and self-sovereign identity perspective. IEEE EuroS&amp;PW, 474–484.</w:t>
      </w:r>
    </w:p>
    <w:p>
      <w:pPr>
        <w:spacing w:after="100"/>
      </w:pPr>
      <w:r>
        <w:rPr>
          <w:sz w:val="20"/>
          <w:szCs w:val="20"/>
        </w:rPr>
        <w:t xml:space="preserve">Fraser, A., Shehu, A.S., Frymann, N., Haynes, P., &amp; Schneider, S. (2025). Privacy-Preserving Photo Sharing: An SSI Use Case. ICISS 2024, Springer LNCS 15416.</w:t>
      </w:r>
    </w:p>
    <w:p>
      <w:pPr>
        <w:spacing w:after="100"/>
      </w:pPr>
      <w:r>
        <w:rPr>
          <w:sz w:val="20"/>
          <w:szCs w:val="20"/>
        </w:rPr>
        <w:t xml:space="preserve">Shehu, A.S., Pinto, A., &amp; Correia, M.E. (2023). SPIDVerify: A secure and privacy-preserving decentralised identity verification framework. IEEE SmartNets 2023.</w:t>
      </w:r>
    </w:p>
    <w:p>
      <w:pPr>
        <w:pStyle w:val="Heading1"/>
      </w:pPr>
      <w:r>
        <w:rPr>
          <w:b/>
          <w:bCs/>
          <w:color w:val="1F3864"/>
          <w:sz w:val="24"/>
          <w:szCs w:val="24"/>
        </w:rPr>
        <w:t xml:space="preserve">DECLARATION</w:t>
      </w:r>
    </w:p>
    <w:p>
      <w:pPr>
        <w:spacing w:after="60"/>
      </w:pPr>
      <w:r>
        <w:rPr>
          <w:sz w:val="20"/>
          <w:szCs w:val="20"/>
        </w:rPr>
        <w:t xml:space="preserve">I confirm that the information provided above is true and accurate.</w:t>
      </w:r>
    </w:p>
    <w:p>
      <w:pPr>
        <w:spacing w:after="0" w:before="120"/>
      </w:pPr>
      <w:r>
        <w:drawing>
          <wp:inline distT="0" distB="0" distL="0" distR="0">
            <wp:extent cx="1619250" cy="723900"/>
            <wp:effectExtent t="0" r="0" b="0" l="0"/>
            <wp:docPr id="1" name="Signature" descr="Signature of Muhammad Shehu Abubakar-Sadiq" titl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sz w:val="20"/>
          <w:szCs w:val="20"/>
        </w:rPr>
        <w:t xml:space="preserve">Muhammad Shehu Abubakar-Sadiq, PhD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6" w:space="2"/>
      </w:pBdr>
      <w:spacing w:after="120" w:before="240"/>
      <w:outlineLvl w:val="0"/>
    </w:pPr>
    <w:rPr>
      <w:rFonts w:ascii="Georgia" w:cs="Georgia" w:eastAsia="Georgia" w:hAnsi="Georgia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fc7a7be9782d9af23547ade4a18db9d0990e3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2026-09-15T16:09:40.747Z</dcterms:created>
  <dcterms:modified xsi:type="dcterms:W3CDTF">2026-09-15T16:09:40.747Z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