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34"/>
          <w:szCs w:val="34"/>
        </w:rPr>
        <w:t xml:space="preserve">Muhammad Shehu Abubakar-Sadiq</w:t>
      </w:r>
    </w:p>
    <w:p>
      <w:pPr>
        <w:spacing w:after="20"/>
      </w:pPr>
      <w:r>
        <w:rPr>
          <w:color w:val="333333"/>
          <w:sz w:val="22"/>
          <w:szCs w:val="22"/>
        </w:rPr>
        <w:t xml:space="preserve">PhD in Computer Science — Information Systems Security</w:t>
      </w:r>
    </w:p>
    <w:p>
      <w:pPr>
        <w:pBdr>
          <w:bottom w:val="single" w:color="1F3864" w:sz="8" w:space="4"/>
        </w:pBdr>
        <w:spacing w:after="200"/>
      </w:pPr>
      <w:r>
        <w:rPr>
          <w:color w:val="555555"/>
          <w:sz w:val="18"/>
          <w:szCs w:val="18"/>
        </w:rPr>
        <w:t xml:space="preserve">msabubakar-sadiq.it@buk.edu.ng  |  Nigerian</w:t>
      </w:r>
    </w:p>
    <w:p>
      <w:pPr>
        <w:spacing w:after="160"/>
      </w:pPr>
      <w:r>
        <w:rPr>
          <w:sz w:val="20"/>
          <w:szCs w:val="20"/>
        </w:rPr>
        <w:t xml:space="preserve">Dear Hiring Manager,</w:t>
      </w:r>
    </w:p>
    <w:p>
      <w:pPr>
        <w:spacing w:after="160" w:line="300"/>
      </w:pPr>
      <w:r>
        <w:rPr>
          <w:sz w:val="20"/>
          <w:szCs w:val="20"/>
        </w:rPr>
        <w:t xml:space="preserve">I am writing to apply for the position of </w:t>
      </w:r>
      <w:r>
        <w:rPr>
          <w:b/>
          <w:bCs/>
          <w:sz w:val="20"/>
          <w:szCs w:val="20"/>
        </w:rPr>
        <w:t xml:space="preserve">Data Privacy &amp; Protection Director</w:t>
      </w:r>
      <w:r>
        <w:rPr>
          <w:sz w:val="20"/>
          <w:szCs w:val="20"/>
        </w:rPr>
        <w:t xml:space="preserve">. I bring over twelve years of work at the intersection of data protection, regulatory compliance and information security — spanning Nigerian banking, global payments at Apple, EU-funded health-data infrastructure, and doctoral and post-doctoral research on privacy-preserving identity systems. I hold a PhD in Computer Science (Information Systems Security) and an MSc in Business Information Systems, and I work daily with the NDPA 2023, NDPC guidance, GDPR, ISO/IEC 27001 and CBN IT and cybersecurity standards.</w:t>
      </w:r>
    </w:p>
    <w:p>
      <w:pPr>
        <w:spacing w:after="160" w:line="300"/>
      </w:pPr>
      <w:r>
        <w:rPr>
          <w:b/>
          <w:bCs/>
          <w:sz w:val="20"/>
          <w:szCs w:val="20"/>
        </w:rPr>
        <w:t xml:space="preserve">Governance, policy and regulatory standing. </w:t>
      </w:r>
      <w:r>
        <w:rPr>
          <w:sz w:val="20"/>
          <w:szCs w:val="20"/>
        </w:rPr>
        <w:t xml:space="preserve">I have designed privacy governance frameworks covering accountability structures, records of processing, retention schedules, cross-border transfer rules and binding internal data-use standards — the same architecture required for Binding Corporate Rules under the NDPA. I translate legislation into operating policy that business and technology teams can actually follow, and I am comfortable acting as the organisation's voice with regulators, auditors and customers. My objective in this role would be straightforward: clean external audits, zero enforcement findings, and a documented evidence trail behind every control.</w:t>
      </w:r>
    </w:p>
    <w:p>
      <w:pPr>
        <w:spacing w:after="160" w:line="300"/>
      </w:pPr>
      <w:r>
        <w:rPr>
          <w:b/>
          <w:bCs/>
          <w:sz w:val="20"/>
          <w:szCs w:val="20"/>
        </w:rPr>
        <w:t xml:space="preserve">Impact assessments and risk mitigation. </w:t>
      </w:r>
      <w:r>
        <w:rPr>
          <w:sz w:val="20"/>
          <w:szCs w:val="20"/>
        </w:rPr>
        <w:t xml:space="preserve">At the University of Surrey's DECaDE Centre, a £6M national programme, I led privacy impact analyses of identity, reputation and data-sharing systems before deployment, documenting lawful basis, necessity and proportionality, risks to data subjects and the technical and organisational mitigations applied. I have authored DPIA templates and gating processes that sit inside product delivery rather than beside it, so that no product, tool variation or integration ships without privacy sign-off.</w:t>
      </w:r>
    </w:p>
    <w:p>
      <w:pPr>
        <w:spacing w:after="160" w:line="300"/>
      </w:pPr>
      <w:r>
        <w:rPr>
          <w:b/>
          <w:bCs/>
          <w:sz w:val="20"/>
          <w:szCs w:val="20"/>
        </w:rPr>
        <w:t xml:space="preserve">Incident response and security coordination. </w:t>
      </w:r>
      <w:r>
        <w:rPr>
          <w:sz w:val="20"/>
          <w:szCs w:val="20"/>
        </w:rPr>
        <w:t xml:space="preserve">As Fraud Prevention Consultant supporting Apple's payments operation, I investigated fraud and data-integrity incidents at high volume under strict confidentiality, least-privilege access and full audit logging, and contributed to control rules, incident documentation and post-incident review. I have since built incident registers and 72-hour regulator notification playbooks with defined escalation triggers, owners and closure evidence. Earlier, as a Risk Officer at Unity Bank PLC, I conducted KYC and due diligence under CBN AML/CFT requirements and reported risk to senior management — so I understand financial-sector supervision from the inside.</w:t>
      </w:r>
    </w:p>
    <w:p>
      <w:pPr>
        <w:spacing w:after="160" w:line="300"/>
      </w:pPr>
      <w:r>
        <w:rPr>
          <w:b/>
          <w:bCs/>
          <w:sz w:val="20"/>
          <w:szCs w:val="20"/>
        </w:rPr>
        <w:t xml:space="preserve">Stakeholder awareness and leadership. </w:t>
      </w:r>
      <w:r>
        <w:rPr>
          <w:sz w:val="20"/>
          <w:szCs w:val="20"/>
        </w:rPr>
        <w:t xml:space="preserve">Privacy maturity is ultimately a culture problem. Across a decade of university teaching and institutional awareness programmes, and now as a Teaching Fellow at the University of Leicester, I have built and delivered training that changes how technical and non-technical audiences handle data. I apply the same approach to third-party processors and vendors, backed by due-diligence checklists and data processing agreements that set clear, auditable obligations.</w:t>
      </w:r>
    </w:p>
    <w:p>
      <w:pPr>
        <w:spacing w:after="160" w:line="300"/>
      </w:pPr>
      <w:r>
        <w:rPr>
          <w:b/>
          <w:bCs/>
          <w:sz w:val="20"/>
          <w:szCs w:val="20"/>
        </w:rPr>
        <w:t xml:space="preserve">Analytical depth. </w:t>
      </w:r>
      <w:r>
        <w:rPr>
          <w:sz w:val="20"/>
          <w:szCs w:val="20"/>
        </w:rPr>
        <w:t xml:space="preserve">My research — including SPIDVerify, a privacy-preserving decentralised identity verification framework, and contributions to Nanostima, the €2.5M EU Horizon 2020 platform adopted for Portugal's national COVID-19 vaccination tracking — required me to trace sensitive data end to end through complex systems and find where it leaks. That is precisely the skill needed to audit processing records and uncover vulnerabilities in a privacy programme before a regulator or an attacker does.</w:t>
      </w:r>
    </w:p>
    <w:p>
      <w:pPr>
        <w:spacing w:after="160" w:line="300"/>
      </w:pPr>
      <w:r>
        <w:rPr>
          <w:sz w:val="20"/>
          <w:szCs w:val="20"/>
        </w:rPr>
        <w:t xml:space="preserve">I would welcome the opportunity to discuss how I can strengthen your data protection strategy and regulatory standing. Thank you for your consideration.</w:t>
      </w:r>
    </w:p>
    <w:p>
      <w:pPr>
        <w:spacing w:after="60"/>
      </w:pPr>
      <w:r>
        <w:rPr>
          <w:sz w:val="20"/>
          <w:szCs w:val="20"/>
        </w:rPr>
        <w:t xml:space="preserve">Yours sincerely,</w:t>
      </w:r>
    </w:p>
    <w:p>
      <w:pPr>
        <w:spacing w:after="0" w:before="120"/>
      </w:pPr>
      <w:r>
        <w:drawing>
          <wp:inline distT="0" distB="0" distL="0" distR="0">
            <wp:extent cx="1619250" cy="723900"/>
            <wp:effectExtent t="0" r="0" b="0" l="0"/>
            <wp:docPr id="1" name="Signature" descr="Signature of Muhammad Shehu Abubakar-Sadiq"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723900"/>
                    </a:xfrm>
                    <a:prstGeom prst="rect">
                      <a:avLst/>
                    </a:prstGeom>
                  </pic:spPr>
                </pic:pic>
              </a:graphicData>
            </a:graphic>
          </wp:inline>
        </w:drawing>
      </w:r>
    </w:p>
    <w:p>
      <w:pPr>
        <w:spacing w:after="100"/>
      </w:pPr>
      <w:r>
        <w:rPr>
          <w:b/>
          <w:bCs/>
          <w:sz w:val="20"/>
          <w:szCs w:val="20"/>
        </w:rPr>
        <w:t xml:space="preserve">Muhammad Shehu Abubakar-Sadiq, PhD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6" w:space="2"/>
      </w:pBdr>
      <w:spacing w:after="120" w:before="240"/>
      <w:outlineLvl w:val="0"/>
    </w:pPr>
    <w:rPr>
      <w:rFonts w:ascii="Georgia" w:cs="Georgia" w:eastAsia="Georgia" w:hAnsi="Georgia"/>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c7a7be9782d9af23547ade4a18db9d0990e3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2026-09-15T16:09:40.760Z</dcterms:created>
  <dcterms:modified xsi:type="dcterms:W3CDTF">2026-09-15T16:09:40.760Z</dcterms:modified>
</cp:coreProperties>
</file>

<file path=docProps/custom.xml><?xml version="1.0" encoding="utf-8"?>
<Properties xmlns="http://schemas.openxmlformats.org/officeDocument/2006/custom-properties" xmlns:vt="http://schemas.openxmlformats.org/officeDocument/2006/docPropsVTypes"/>
</file>