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2023-КПМ-0110-2-001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новой стратегии ведения детей с наследственными нарушениями гемостаза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Завершена НИР высокого уровня. Изучение параметров системы естественных антикоагулянтов и маркеров их дефицита позволило усовершенствовать подходы к профилактике тромбозов и тромбоэмболий у детей в случаях семейной тромбофилии, при заболеваниях сердечно-сосудистой, нервной и мочевыделительной систем.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