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 xml:space="preserve">Экспертное заключение № 2023-КПМ-0239-1-001</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по результатам оценки научных и научно-технических результатов НИР,</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достигнутых в рамках реализации проектов и мероприятий ГП НТР</w:t>
      </w:r>
    </w:p>
    <w:p w:rsidR="007865F7"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в сфере медицинских наук</w:t>
      </w:r>
    </w:p>
    <w:p w:rsidR="007865F7" w:rsidRP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w:t>
      </w:r>
      <w:r w:rsidRPr="007865F7">
        <w:rPr>
          <w:rFonts w:ascii="Times New Roman" w:hAnsi="Times New Roman" w:cs="Times New Roman"/>
          <w:b/>
          <w:sz w:val="24"/>
          <w:szCs w:val="24"/>
        </w:rPr>
        <w:t>. Общие сведения о проекте</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Номер проекта:</w:t>
      </w:r>
      <w:r w:rsidRPr="007865F7">
        <w:rPr>
          <w:rFonts w:ascii="Times New Roman" w:hAnsi="Times New Roman" w:cs="Times New Roman"/>
          <w:sz w:val="24"/>
          <w:szCs w:val="24"/>
        </w:rPr>
        <w:t xml:space="preserve"> КПМ-0239</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тематики:</w:t>
      </w:r>
      <w:r w:rsidRPr="007865F7">
        <w:rPr>
          <w:rFonts w:ascii="Times New Roman" w:hAnsi="Times New Roman" w:cs="Times New Roman"/>
          <w:sz w:val="24"/>
          <w:szCs w:val="24"/>
        </w:rPr>
        <w:t xml:space="preserve"> ГИБРИДНЫЙ БЕЛОК БАРНАЗА-RBD-СВЯЗЫВАЮЩИЙ ПЕПТИД РЕКОМБИНАНТНЫЙ ПРЕПАРАТ НА ОСНОВЕ БАРНАЗЫ. РАЗРАБОТКА НОВОГО ЛЕКАРСТВЕННОГО СРЕДСТВА ТАРГЕВИР ДЛЯ ТЕРАПИИ COVID-19 НА ОСНОВЕ БЕЛКОВ БАРНАЗА/БАРСТАР И АДРЕСНЫХ ПОЛИПЕПТИДОВ, СЕЛЕКТИВНО УЗНАЮЩИХ ВИРУСНЫЙ S-БЕЛОК</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Код-шифр тематики:</w:t>
      </w:r>
      <w:r w:rsidRPr="007865F7">
        <w:rPr>
          <w:rFonts w:ascii="Times New Roman" w:hAnsi="Times New Roman" w:cs="Times New Roman"/>
          <w:sz w:val="24"/>
          <w:szCs w:val="24"/>
        </w:rPr>
        <w:t xml:space="preserve"> FFEU-2021-0005</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исполнителя:</w:t>
      </w:r>
      <w:r w:rsidRPr="007865F7">
        <w:rPr>
          <w:rFonts w:ascii="Times New Roman" w:hAnsi="Times New Roman" w:cs="Times New Roman"/>
          <w:sz w:val="24"/>
          <w:szCs w:val="24"/>
        </w:rPr>
        <w:t xml:space="preserve"> Федеральное государственное бюджетное учреждение науки Государственный научный центр Российской Федерации Институт биоорганической химии им. академиков М.М. Шемякина и Ю.А. Овчинникова Российской академии наук</w:t>
      </w:r>
    </w:p>
    <w:p w:rsid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II</w:t>
      </w:r>
      <w:r w:rsidRPr="007865F7">
        <w:rPr>
          <w:rFonts w:ascii="Times New Roman" w:hAnsi="Times New Roman" w:cs="Times New Roman"/>
          <w:b/>
          <w:sz w:val="24"/>
          <w:szCs w:val="24"/>
        </w:rPr>
        <w:t>. Оценка результатов проектов</w:t>
      </w:r>
    </w:p>
    <w:p w:rsidR="007865F7"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Вид результата: </w:t>
      </w:r>
      <w:r w:rsidRPr="007C37F0">
        <w:rPr>
          <w:rFonts w:ascii="Times New Roman" w:hAnsi="Times New Roman" w:cs="Times New Roman"/>
          <w:sz w:val="24"/>
          <w:szCs w:val="24"/>
        </w:rPr>
        <w:t xml:space="preserve">Лекарственный препарат (средство)</w:t>
      </w:r>
    </w:p>
    <w:p w:rsidR="007C37F0"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Лекарственный препарат</w:t>
      </w:r>
    </w:p>
    <w:p w:rsid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7C37F0" w:rsidTr="007C37F0">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Возможность импортозамещения</w:t>
            </w:r>
          </w:p>
        </w:tc>
      </w:tr>
      <w:tr w:rsidR="007C37F0" w:rsidTr="007C37F0">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Микробиология: разработка отечественных аналогов медицинских изделий для проведения молекулярно-генетических исследований</w:t>
            </w:r>
          </w:p>
        </w:tc>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смертности</w:t>
            </w:r>
          </w:p>
        </w:tc>
        <w:tc>
          <w:tcPr>
            <w:tcW w:w="3115" w:type="dxa"/>
          </w:tcPr>
          <w:p w:rsidR="007C37F0" w:rsidRPr="003760AE" w:rsidRDefault="003760AE"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Имеется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095062" w:rsidRPr="0023472E" w:rsidRDefault="003760AE" w:rsidP="00095062">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tbl>
      <w:tblPr>
        <w:tblStyle w:val="a3"/>
        <w:tblW w:w="0" w:type="auto"/>
        <w:tblLayout w:type="fixed"/>
        <w:tblLook w:val="04A0" w:firstRow="1" w:lastRow="0" w:firstColumn="1" w:lastColumn="0" w:noHBand="0" w:noVBand="1"/>
      </w:tblPr>
      <w:tblGrid>
        <w:gridCol w:w="7650"/>
        <w:gridCol w:w="1695"/>
      </w:tblGrid>
      <w:tr w:rsidR="006A5BCE" w:rsidRPr="0023472E" w:rsidTr="006A5BCE">
        <w:tc>
          <w:tcPr>
            <w:tcW w:w="7650" w:type="dxa"/>
            <w:vAlign w:val="center"/>
          </w:tcPr>
          <w:p w:rsidR="006A5BCE" w:rsidRPr="006A5BCE" w:rsidRDefault="006A5BCE" w:rsidP="006A5BCE">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Задачи</w:t>
            </w:r>
          </w:p>
        </w:tc>
        <w:tc>
          <w:tcPr>
            <w:tcW w:w="1695" w:type="dxa"/>
            <w:vAlign w:val="center"/>
          </w:tcPr>
          <w:p w:rsidR="006A5BCE" w:rsidRPr="006A5BCE" w:rsidRDefault="006A5BCE" w:rsidP="006A5BCE">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Выполнена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 аналитический обзор научной, медицинской, технической литературы по теме</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Выявлены механизмы возникновения заболевания, определены молекулярные мишени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изучение библиотек данных с целью выбора потенциального кандидата прототипа молекулы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дизайн исследования</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Подтверждены научные принципы нового ЛС</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Докинг/скрининг/программное прогнозирование с целью выбора кандидата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Предварительно определены целевые показатели качества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Определено целевое назначение нового ЛС </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Подтверждена востребованность нового ЛС</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общая концепция нового ЛС</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заказчика нового ЛС с учетом существующих на рынке аналогов</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возможных потребителей нового ЛС с учетом существующих на рынке аналогов </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патентные исследования</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экспериментальные работы, подтверждающие гипотезу</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Выполнена проверка концепции экспериментальными методами для доказательства эффективности использования идеи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Оценена возможность получения действующего вещества с использованием различных сырьевых источников</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Начато выявление: критических характеристик исходных материалов, критических параметров процесса, потенциальных характеристик качества готового продукта и выявлены ключевые преимущества технологии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Сформулировано предварительное техническое задание на разработку ЛС (активной фармацевтической субстанции (АФС) и готовой лекарственной формы (ГЛФ)</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Получено и идентифицировано активное соединение/фармацевтическая субстанция</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проект спецификации на АФС</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 наработки действующего вещества/ АФС</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Подготовлена программа (план) исследования биологической активности соединения/фармацевтической субстанции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план доклинических исследований</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Определены физико-химические свойства (характеристики) действующего вещества /АФС</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Определены биофармацевтические, микробиологические, технологические характеристики действующего вещества/АФС</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Оценена биологическая активность соединения в системах in vitro и/или in vivo</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Определена цитотоксичность и острая токсичность действующего вещества /АФС</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Представитель заказчика принял результаты тестирования как достоверные и подтвердил заинтересованность в продукте</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дополнительные патентные исследования</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Разработана спецификация на АФС</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Разработана лекарственная форма (ГЛФ)</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состав и технология получения лекарственного препарата (ЛП)</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лабораторный регламент на ЛП</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проект опытно-промышленного регламента (ОПР) на ЛП</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Наработаны опытные серии образцов ЛП для изучения стабильности в процессе хранения и проведения доклинических исследований</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 наработки ЛП</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доклинические исследования специфической активности, хронической токсичности, специфической токсичности, фармакокинетики, фармакодинамики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ОПР на ЛП</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Подобрана система упаковки и укупорки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Разработаны и валидированы методы анализа ЛП</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проект нормативной документации (НД) по качеству на ЛП</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масштабирование технологии с целью переноса на производственную площадку</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дизайн клинических исследования (КИ)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комплект документов для подачи заявления на РКИ: 1) брошюра исследователя; 2) протокол КИ I фазы; 3) информационный листок пациента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 проект инструкции по медицинскому применению</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Определена производственная площадка в условиях GMP</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трансфер методик и технологий</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Подано заявление о выдаче разрешения на проведение КИ ЛП</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Наработаны серии ЛП для КИ I и II фазы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Получено разрешение на проведение клинических исследований лекарственного препарата I фазы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Получено разрешение на проведение клинических исследований лекарственного препарата II фазы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КИ I фазы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КИ II фазы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Подготовлены отчеты КИ I фазы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Подготовлены отчеты КИ II фазы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tbl>
      <w:tblPr>
        <w:tblStyle w:val="a3"/>
        <w:tblW w:w="0" w:type="auto"/>
        <w:tblLayout w:type="fixed"/>
        <w:tblLook w:val="04A0" w:firstRow="1" w:lastRow="0" w:firstColumn="1" w:lastColumn="0" w:noHBand="0" w:noVBand="1"/>
      </w:tblPr>
      <w:tblGrid>
        <w:gridCol w:w="7650"/>
        <w:gridCol w:w="1695"/>
      </w:tblGrid>
      <w:tr w:rsidR="005B66CA" w:rsidRPr="0023472E" w:rsidTr="00C269ED">
        <w:tc>
          <w:tcPr>
            <w:tcW w:w="7650" w:type="dxa"/>
            <w:vAlign w:val="center"/>
          </w:tcPr>
          <w:p w:rsidR="005B66CA" w:rsidRPr="006A5BCE" w:rsidRDefault="005B66CA" w:rsidP="00C269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Материалы</w:t>
            </w:r>
          </w:p>
        </w:tc>
        <w:tc>
          <w:tcPr>
            <w:tcW w:w="1695" w:type="dxa"/>
            <w:vAlign w:val="center"/>
          </w:tcPr>
          <w:p w:rsidR="005B66CA" w:rsidRPr="006A5BCE" w:rsidRDefault="005B66CA" w:rsidP="00C269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Наличие</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Материалы о механизмах возникновения заболевания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Материалы о молекулярных мишенях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Материалы о проведенном докинге/программном прогнозировании для выбора кандидатных молекул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Публикация о механизмах возникновения заболевания</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Публикация о молекулярных мишенях</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Публикация о проведенном докинге/программном прогнозировании для выбора кандидатных молекул</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Монография о механизмах возникновения заболевания/ молекулярных мишенях/ проведенном докинге/программном прогнозировании для выбора кандидатных молекул</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Экспертное заключение о возможности разработки лекарственного средства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Пояснительная записка о возможности разработки лекарственного средства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Презентация о механизмах возникновения заболевания/ молекулярных мишенях/ проведенном докинге/программном прогнозировании для выбора кандидатных молекул</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патентных исследованиях</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Материалы о методах синтеза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Лабораторная технология получения целевых соединений (действующих веществ (химический/микробиологический способ получения)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Материалы о методах идентификации целевых (биологически активных, действующих) соединений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Материалы о методах скрининга целевых соединений (действующих веществ)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Материалы о результатах скрининга целевых соединений (действующих веществ)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Материалы об исследованиях зависимости активности соединения от структуры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Публикация, содержащая экспериментальные данные (разработка методов синтеза, лабораторной технологии, проведение скрининга соединений, исследований зависимости активности от структуры)</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Монография, содержащая экспериментальные данные (разработка методов синтеза, лабораторной технологии, проведение скрининга соединений, исследований зависимости активности от структуры)</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технического задания на разработку действующего вещества/активной фармацевтической субстанции (АФС) и готовой лекарственной формы (ГЛФ)</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Программа (план) исследования биологической активности соединения/фармацевтической субстанции (в отчете о НИР или в качестве отдельного документа)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Лабораторный регламент получения действующего вещества/АФС (в отчете о НИР или в качестве отдельного документа)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Методы идентификации действующего вещества/АФС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Описание физико-химических свойств действующего вещества/АФС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Оценка биологической активности действующего вещества/АФС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Оценка острой токсичности действующего вещества/АФС  (в отчете о НИР)</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Акт наработки действующего вещества/АФС</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План (программа) доклинических исследований</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спецификации на АФС</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Секрет производства (ноу-хау)</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Изобретение (заявка на патент, патент)</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дополнительных патентных исследованиях</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Спецификация на АФС</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Лабораторный регламент получения готовой лекарственной формы</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опытно-промышленного регламента получения готовой лекарственной формы</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Протокол исследования стабильности лекарственного препарата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доклинических исследованиях, включая данные:</w:t>
              <w:br/>
              <w:t xml:space="preserve">- биологической активности (специфической активности);</w:t>
              <w:br/>
              <w:t xml:space="preserve">- токсичности (острой, хронической, специфической);</w:t>
              <w:br/>
              <w:t xml:space="preserve">- фармакокинетики;</w:t>
              <w:br/>
              <w:t xml:space="preserve">- фармакодинамики</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Опытно-промышленный регламент на лекарственные препараты</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Методы анализа ЛП</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нормативной документации</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Программа для ЭВМ</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База данных</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Экспериментальный образец</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Брошюра исследователя</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Информационный листок пациента:</w:t>
              <w:br/>
              <w:t xml:space="preserve">- информация о составе лекарственного препарата для медицинского применения (I фаза КИ)</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Документ, составленный производителем лекарственного препарата для медицинского применения и содержащий показатели (характеристики), а также сведения о лекарственном препарате для медицинского применения, произведенном для проведения клинических исследований</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инструкции по медицинскому применению</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Рандомизированное контролируемое испытание I фаза (РКИ I фаза)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Рандомизированное контролируемое испытание II фаза (РКИ II фаза)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Протокол клинического исследования лекарственного препарата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Отчеты клинических исследований (КИ I фазы)</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Отчеты клинических исследований (КИ II фазы)</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5B66CA" w:rsidRDefault="005B66CA" w:rsidP="003760AE">
      <w:pPr>
        <w:spacing w:before="120" w:after="0" w:line="360" w:lineRule="auto"/>
        <w:rPr>
          <w:rFonts w:ascii="Times New Roman" w:hAnsi="Times New Roman" w:cs="Times New Roman"/>
          <w:sz w:val="24"/>
          <w:szCs w:val="24"/>
        </w:rPr>
      </w:pP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Критические технологии, </w:t>
      </w:r>
      <w:r w:rsidR="000739BF">
        <w:rPr>
          <w:rFonts w:ascii="Times New Roman" w:hAnsi="Times New Roman" w:cs="Times New Roman"/>
          <w:sz w:val="24"/>
          <w:szCs w:val="24"/>
        </w:rPr>
        <w:t xml:space="preserve">отмеченные в </w:t>
      </w:r>
      <w:r>
        <w:rPr>
          <w:rFonts w:ascii="Times New Roman" w:hAnsi="Times New Roman" w:cs="Times New Roman"/>
          <w:sz w:val="24"/>
          <w:szCs w:val="24"/>
        </w:rPr>
        <w:t>указ</w:t>
      </w:r>
      <w:r w:rsidR="000739BF">
        <w:rPr>
          <w:rFonts w:ascii="Times New Roman" w:hAnsi="Times New Roman" w:cs="Times New Roman"/>
          <w:sz w:val="24"/>
          <w:szCs w:val="24"/>
        </w:rPr>
        <w:t>е</w:t>
      </w:r>
      <w:r>
        <w:rPr>
          <w:rFonts w:ascii="Times New Roman" w:hAnsi="Times New Roman" w:cs="Times New Roman"/>
          <w:sz w:val="24"/>
          <w:szCs w:val="24"/>
        </w:rPr>
        <w:t xml:space="preserve">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w:t>
      </w:r>
      <w:r w:rsidR="000739BF">
        <w:rPr>
          <w:rFonts w:ascii="Times New Roman" w:hAnsi="Times New Roman" w:cs="Times New Roman"/>
          <w:sz w:val="24"/>
          <w:szCs w:val="24"/>
        </w:rPr>
        <w:t xml:space="preserve">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0739BF">
        <w:trPr>
          <w:trHeight w:val="600"/>
        </w:trPr>
        <w:tc>
          <w:tcPr>
            <w:tcW w:w="432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0739BF">
        <w:trPr>
          <w:trHeight w:val="600"/>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0739BF" w:rsidRDefault="000739BF" w:rsidP="000739BF">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6E3BB2">
        <w:trPr>
          <w:trHeight w:val="600"/>
        </w:trPr>
        <w:tc>
          <w:tcPr>
            <w:tcW w:w="409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0739BF" w:rsidRPr="000739BF" w:rsidRDefault="000739BF" w:rsidP="00A86059">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6E3BB2">
        <w:trPr>
          <w:trHeight w:val="600"/>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6E3BB2" w:rsidRPr="00C21691" w:rsidRDefault="006E3BB2" w:rsidP="006E3BB2">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w:t>
      </w:r>
      <w:r w:rsidR="00C21691">
        <w:rPr>
          <w:rFonts w:ascii="Times New Roman" w:hAnsi="Times New Roman" w:cs="Times New Roman"/>
          <w:sz w:val="24"/>
          <w:szCs w:val="24"/>
        </w:rPr>
        <w:t>, которые указаны в проекте тематики научного исследования:</w:t>
      </w:r>
    </w:p>
    <w:p w:rsidR="006E3BB2" w:rsidRPr="006E3BB2" w:rsidRDefault="006E3BB2" w:rsidP="003760AE">
      <w:pPr>
        <w:spacing w:before="120"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Соответствует</w:t>
      </w:r>
    </w:p>
    <w:p w:rsidR="000739BF" w:rsidRPr="006E3BB2" w:rsidRDefault="000739BF" w:rsidP="003C6D66">
      <w:pPr>
        <w:keepNext/>
        <w:spacing w:before="120" w:after="0" w:line="360" w:lineRule="auto"/>
        <w:rPr>
          <w:rFonts w:ascii="Times New Roman" w:hAnsi="Times New Roman" w:cs="Times New Roman"/>
          <w:b/>
          <w:sz w:val="24"/>
          <w:szCs w:val="24"/>
          <w:lang w:val="en-US"/>
        </w:rPr>
      </w:pPr>
      <w:r w:rsidRPr="000739BF">
        <w:rPr>
          <w:rFonts w:ascii="Times New Roman" w:hAnsi="Times New Roman" w:cs="Times New Roman"/>
          <w:b/>
          <w:sz w:val="24"/>
          <w:szCs w:val="24"/>
          <w:lang w:val="en-US"/>
        </w:rPr>
        <w:lastRenderedPageBreak/>
        <w:t>III</w:t>
      </w:r>
      <w:r w:rsidRPr="006E3BB2">
        <w:rPr>
          <w:rFonts w:ascii="Times New Roman" w:hAnsi="Times New Roman" w:cs="Times New Roman"/>
          <w:b/>
          <w:sz w:val="24"/>
          <w:szCs w:val="24"/>
          <w:lang w:val="en-US"/>
        </w:rPr>
        <w:t xml:space="preserve">. </w:t>
      </w:r>
      <w:r w:rsidRPr="000739BF">
        <w:rPr>
          <w:rFonts w:ascii="Times New Roman" w:hAnsi="Times New Roman" w:cs="Times New Roman"/>
          <w:b/>
          <w:sz w:val="24"/>
          <w:szCs w:val="24"/>
        </w:rPr>
        <w:t>Вывод</w:t>
      </w:r>
      <w:r w:rsidRPr="006E3BB2">
        <w:rPr>
          <w:rFonts w:ascii="Times New Roman" w:hAnsi="Times New Roman" w:cs="Times New Roman"/>
          <w:b/>
          <w:sz w:val="24"/>
          <w:szCs w:val="24"/>
          <w:lang w:val="en-US"/>
        </w:rPr>
        <w:t>:</w:t>
      </w:r>
    </w:p>
    <w:p w:rsidR="000739BF" w:rsidRPr="006E3BB2" w:rsidRDefault="000739BF" w:rsidP="003760AE">
      <w:pPr>
        <w:spacing w:before="120" w:after="0" w:line="360" w:lineRule="auto"/>
        <w:rPr>
          <w:rFonts w:ascii="Times New Roman" w:hAnsi="Times New Roman" w:cs="Times New Roman"/>
          <w:sz w:val="24"/>
          <w:szCs w:val="24"/>
          <w:lang w:val="en-US"/>
        </w:rPr>
      </w:pPr>
      <w:r w:rsidRPr="006E3BB2">
        <w:rPr>
          <w:rFonts w:ascii="Times New Roman" w:hAnsi="Times New Roman" w:cs="Times New Roman"/>
          <w:sz w:val="24"/>
          <w:szCs w:val="24"/>
          <w:lang w:val="en-US"/>
        </w:rPr>
        <w:t xml:space="preserve">Авторы разработали и провели проверку лечебного препарата, направленного на лечения COVID-19, вызванного вирусом SARS-CoV-2 двух вариантов (Ухань и Омикрон). В процессе работы получены генетические конструкции и штаммы-продуценты, охарактеризованы анти-SARS-CoV-2 пептиды и гибридные белки, исследована их противовирусная активность in vitro, отобраны наиболее перспективные препараты для исследования на животных, получены предварительные результаты на модели трансгенных мышей. Результаты работы послужат основой для разработки новых противовирусных препаратов.</w:t>
        <w:br/>
        <w:t xml:space="preserve">          </w:t>
        <w:br/>
        <w:t xml:space="preserve">Замечания.</w:t>
        <w:br/>
        <w:t xml:space="preserve">В исследованиях in vitro не представлены данные о токсичности экспериментальных препаратов, поэтому не понятно, как авторы рассчитали химиотерапевтический индекс, который равен частному от деления токсической дозы на эффективную дозу препарата.</w:t>
        <w:br/>
        <w:t xml:space="preserve">Работы на животных. </w:t>
        <w:br/>
        <w:t xml:space="preserve">1.</w:t>
      </w:r>
      <w:r>
        <w:rPr>
          <w:rFonts w:ascii="Times New Roman" w:hAnsi="Times New Roman" w:cs="Times New Roman"/>
          <w:sz w:val="24"/>
          <w:szCs w:val="24"/>
          <w:lang w:val="en-US"/>
        </w:rPr>
        <w:tab/>
      </w:r>
      <w:r>
        <w:rPr>
          <w:rFonts w:ascii="Times New Roman" w:hAnsi="Times New Roman" w:cs="Times New Roman"/>
          <w:sz w:val="24"/>
          <w:szCs w:val="24"/>
          <w:lang w:val="en-US"/>
        </w:rPr>
        <w:t xml:space="preserve">Не указано, какие использованы дозы экспериментальных препаратов. </w:t>
        <w:br/>
        <w:t xml:space="preserve">2.</w:t>
      </w:r>
      <w:r>
        <w:rPr>
          <w:rFonts w:ascii="Times New Roman" w:hAnsi="Times New Roman" w:cs="Times New Roman"/>
          <w:sz w:val="24"/>
          <w:szCs w:val="24"/>
          <w:lang w:val="en-US"/>
        </w:rPr>
        <w:tab/>
      </w:r>
      <w:r>
        <w:rPr>
          <w:rFonts w:ascii="Times New Roman" w:hAnsi="Times New Roman" w:cs="Times New Roman"/>
          <w:sz w:val="24"/>
          <w:szCs w:val="24"/>
          <w:lang w:val="en-US"/>
        </w:rPr>
        <w:t xml:space="preserve">При использовании разных штаммов вируса SARS-CoV-2 было проведено по одному эксперименту с каждым штаммом с использованием 6-7 животных в группе. Для получения достоверных данных этого недостаточно. Видимо, этим объясняется отсутствие статистической обработки результатов на животных.</w:t>
        <w:br/>
        <w:t xml:space="preserve">3.</w:t>
      </w:r>
      <w:r>
        <w:rPr>
          <w:rFonts w:ascii="Times New Roman" w:hAnsi="Times New Roman" w:cs="Times New Roman"/>
          <w:sz w:val="24"/>
          <w:szCs w:val="24"/>
          <w:lang w:val="en-US"/>
        </w:rPr>
        <w:tab/>
      </w:r>
      <w:r>
        <w:rPr>
          <w:rFonts w:ascii="Times New Roman" w:hAnsi="Times New Roman" w:cs="Times New Roman"/>
          <w:sz w:val="24"/>
          <w:szCs w:val="24"/>
          <w:lang w:val="en-US"/>
        </w:rPr>
        <w:t xml:space="preserve">Лучшие результаты (50% выживших животных после интраназального заражения вирусом) получены с препаратами LCB1+HSA и LAB1*+HSA, которые представляют собой пептид LCB1 + альбумин-связывающая молекула и пептид LCB1 + альбумин-связывающая молекула + инактивированная барназа соответственно. Из этого следует, что барназа (бактериальная РНКаза) не нужна в противовирусном препарате, хотя дизайн исследования основывался именно на ней: RBD-связывающий пептид нужен для проникновения в клетку, связывание с сывороточным альбумином нужно для пролонгирования циркуляции в кровотоке, а разрушение зараженной клетки должна осуществлять барназа. Авторы никак не обсудили эти данные.</w:t>
        <w:br/>
        <w:t xml:space="preserve"/>
      </w:r>
    </w:p>
    <w:p w:rsidR="007865F7" w:rsidRPr="006E3BB2" w:rsidRDefault="007865F7" w:rsidP="007865F7">
      <w:pPr>
        <w:spacing w:after="0" w:line="360" w:lineRule="auto"/>
        <w:jc w:val="center"/>
        <w:rPr>
          <w:rFonts w:ascii="Times New Roman" w:hAnsi="Times New Roman" w:cs="Times New Roman"/>
          <w:sz w:val="28"/>
          <w:szCs w:val="28"/>
          <w:lang w:val="en-US"/>
        </w:rPr>
      </w:pPr>
    </w:p>
    <w:p w:rsidR="0021237F" w:rsidRPr="006E3BB2" w:rsidRDefault="007865F7" w:rsidP="000739BF">
      <w:pPr>
        <w:spacing w:after="0" w:line="360" w:lineRule="auto"/>
        <w:jc w:val="center"/>
        <w:rPr>
          <w:rFonts w:ascii="Times New Roman" w:hAnsi="Times New Roman" w:cs="Times New Roman"/>
          <w:sz w:val="24"/>
          <w:szCs w:val="24"/>
          <w:lang w:val="en-US"/>
        </w:rPr>
      </w:pPr>
      <w:r w:rsidRPr="00FF7F5B">
        <w:rPr>
          <w:rFonts w:ascii="Times New Roman" w:hAnsi="Times New Roman" w:cs="Times New Roman"/>
          <w:sz w:val="24"/>
          <w:szCs w:val="24"/>
        </w:rPr>
        <w:t>Эксперт</w:t>
      </w:r>
      <w:r w:rsidRPr="006E3BB2">
        <w:rPr>
          <w:rFonts w:ascii="Times New Roman" w:hAnsi="Times New Roman" w:cs="Times New Roman"/>
          <w:sz w:val="24"/>
          <w:szCs w:val="24"/>
          <w:lang w:val="en-US"/>
        </w:rPr>
        <w:t xml:space="preserve"> _________</w:t>
      </w:r>
      <w:r w:rsidR="002736B0" w:rsidRPr="006E3BB2">
        <w:rPr>
          <w:rFonts w:ascii="Times New Roman" w:hAnsi="Times New Roman" w:cs="Times New Roman"/>
          <w:sz w:val="24"/>
          <w:szCs w:val="24"/>
          <w:lang w:val="en-US"/>
        </w:rPr>
        <w:t>_________________________</w:t>
      </w:r>
      <w:r w:rsidRPr="006E3BB2">
        <w:rPr>
          <w:rFonts w:ascii="Times New Roman" w:hAnsi="Times New Roman" w:cs="Times New Roman"/>
          <w:sz w:val="24"/>
          <w:szCs w:val="24"/>
          <w:lang w:val="en-US"/>
        </w:rPr>
        <w:t>_________(</w:t>
      </w:r>
      <w:r w:rsidR="005C73E2">
        <w:rPr>
          <w:rFonts w:ascii="Times New Roman" w:hAnsi="Times New Roman" w:cs="Times New Roman"/>
          <w:sz w:val="24"/>
          <w:szCs w:val="24"/>
          <w:lang w:val="en-US"/>
        </w:rPr>
        <w:t xml:space="preserve">Т.Н. Ильичева</w:t>
      </w:r>
      <w:r w:rsidRPr="006E3BB2">
        <w:rPr>
          <w:rFonts w:ascii="Times New Roman" w:hAnsi="Times New Roman" w:cs="Times New Roman"/>
          <w:sz w:val="24"/>
          <w:szCs w:val="24"/>
          <w:lang w:val="en-US"/>
        </w:rPr>
        <w:t>)</w:t>
      </w:r>
    </w:p>
    <w:sectPr w:rsidR="0021237F" w:rsidRPr="006E3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36"/>
    <w:rsid w:val="00050033"/>
    <w:rsid w:val="00070F33"/>
    <w:rsid w:val="000739BF"/>
    <w:rsid w:val="00095062"/>
    <w:rsid w:val="00097C84"/>
    <w:rsid w:val="0021237F"/>
    <w:rsid w:val="0023472E"/>
    <w:rsid w:val="002736B0"/>
    <w:rsid w:val="003760AE"/>
    <w:rsid w:val="003C6D66"/>
    <w:rsid w:val="00417CCB"/>
    <w:rsid w:val="00515329"/>
    <w:rsid w:val="005B66CA"/>
    <w:rsid w:val="005C73E2"/>
    <w:rsid w:val="00652CD5"/>
    <w:rsid w:val="0068721D"/>
    <w:rsid w:val="006A5BCE"/>
    <w:rsid w:val="006E3BB2"/>
    <w:rsid w:val="007865F7"/>
    <w:rsid w:val="007C37F0"/>
    <w:rsid w:val="008C701B"/>
    <w:rsid w:val="00A852FF"/>
    <w:rsid w:val="00AD3C36"/>
    <w:rsid w:val="00B14211"/>
    <w:rsid w:val="00B81B6D"/>
    <w:rsid w:val="00C21691"/>
    <w:rsid w:val="00C55C15"/>
    <w:rsid w:val="00D10AE6"/>
    <w:rsid w:val="00EA6008"/>
    <w:rsid w:val="00F360EB"/>
    <w:rsid w:val="00F50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E9D51-36FA-4CB7-A784-A30452BA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5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099693">
      <w:bodyDiv w:val="1"/>
      <w:marLeft w:val="0"/>
      <w:marRight w:val="0"/>
      <w:marTop w:val="0"/>
      <w:marBottom w:val="0"/>
      <w:divBdr>
        <w:top w:val="none" w:sz="0" w:space="0" w:color="auto"/>
        <w:left w:val="none" w:sz="0" w:space="0" w:color="auto"/>
        <w:bottom w:val="none" w:sz="0" w:space="0" w:color="auto"/>
        <w:right w:val="none" w:sz="0" w:space="0" w:color="auto"/>
      </w:divBdr>
    </w:div>
    <w:div w:id="814184305">
      <w:bodyDiv w:val="1"/>
      <w:marLeft w:val="0"/>
      <w:marRight w:val="0"/>
      <w:marTop w:val="0"/>
      <w:marBottom w:val="0"/>
      <w:divBdr>
        <w:top w:val="none" w:sz="0" w:space="0" w:color="auto"/>
        <w:left w:val="none" w:sz="0" w:space="0" w:color="auto"/>
        <w:bottom w:val="none" w:sz="0" w:space="0" w:color="auto"/>
        <w:right w:val="none" w:sz="0" w:space="0" w:color="auto"/>
      </w:divBdr>
    </w:div>
    <w:div w:id="1071736422">
      <w:bodyDiv w:val="1"/>
      <w:marLeft w:val="0"/>
      <w:marRight w:val="0"/>
      <w:marTop w:val="0"/>
      <w:marBottom w:val="0"/>
      <w:divBdr>
        <w:top w:val="none" w:sz="0" w:space="0" w:color="auto"/>
        <w:left w:val="none" w:sz="0" w:space="0" w:color="auto"/>
        <w:bottom w:val="none" w:sz="0" w:space="0" w:color="auto"/>
        <w:right w:val="none" w:sz="0" w:space="0" w:color="auto"/>
      </w:divBdr>
    </w:div>
    <w:div w:id="1086877048">
      <w:bodyDiv w:val="1"/>
      <w:marLeft w:val="0"/>
      <w:marRight w:val="0"/>
      <w:marTop w:val="0"/>
      <w:marBottom w:val="0"/>
      <w:divBdr>
        <w:top w:val="none" w:sz="0" w:space="0" w:color="auto"/>
        <w:left w:val="none" w:sz="0" w:space="0" w:color="auto"/>
        <w:bottom w:val="none" w:sz="0" w:space="0" w:color="auto"/>
        <w:right w:val="none" w:sz="0" w:space="0" w:color="auto"/>
      </w:divBdr>
    </w:div>
    <w:div w:id="12491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439</Words>
  <Characters>2503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Карапышев Алексей Владимирович</dc:creator>
  <cp:keywords/>
  <dc:description/>
  <cp:lastModifiedBy>Cash</cp:lastModifiedBy>
  <cp:revision>33</cp:revision>
  <dcterms:created xsi:type="dcterms:W3CDTF">2024-10-24T08:25:00Z</dcterms:created>
  <dcterms:modified xsi:type="dcterms:W3CDTF">2024-11-04T20:19:00Z</dcterms:modified>
  <dc:identifier/>
  <dc:language/>
</cp:coreProperties>
</file>