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Оптимизация персонифицированной профилактики развития профессиональной бронхолегочной патологии на основе использования клинико-лабораторных (молекулярно-генетических, биохимических, иммунологических, гематологических) показателей.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проведение исследований, направленных на изучение роли маркера периостина в диагностике бронхиальной астмы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