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Определение критериев профпригодности в условиях воздействия вредных производственных факторов работников, перенесших новую коронавирусную инфекцию (COVID-19).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FGFE-2023-0008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медицины труда имени академика Н.Ф.Измерова"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Проведенный анализ литературных и данных и отчетов Роспотребнадзора не позволяет объективизировать критерии включения работников в группу сранвнения и группу с риском развития тугоухости Кроме того, авторами сделан вывод о том, что врачи со снижением слуха в результате перенесенной коронавирусной инфекции не могут считаться профнепригодными, то есть критерии профнепригодности в данной области не могут быть разработаны на данной выборке пациентов. Дальнейшие работы не дадут результатов, в которых были бы заинтересованы потребители продукта;  дальнейшее финансирование проекта считаю необоснованным.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Т.И. Хомякова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