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Изучение роли генетических причин и вклада различных молекулярно-генетических методов в диагностику врожденных пороков развития и наследственных заболеваний глаза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Офтальмология: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наравлен на создание алгоритма  дифференциальной клинико-генетической дианостики моногенных пороков развития глаз, заболеваний сетчатки и глазокожного альбинизма. Сформирована выборка пациентов (300 человек), оценена возможность использования молек.-генет. технологий для диагности наследственных заболеваний глаз.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В.А. Вахитов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