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2023-КПМ-0257-1-001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КПМ-0257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Изучение роли генетических причин и вклада различных молекулярно-генетических методов в диагностику врожденных пороков развития и наследственных заболеваний глаза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FGFF-2023-0016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Офтальмология: разработка и производство отечественных медицинских изделий,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наравлен на создание алгоритма  дифференциальной клинико-генетической дианостики моногенных пороков развития глаз, заболеваний сетчатки и глазокожного альбинизма. Сформирована выборка пациентов (300 человек), оценена возможность использования молек.-генет. технологий для диагности наследственных заболеваний глаз.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В.А. Вахитов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