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диагностических паттернов и прогностических маркеров нарушений жизнедеятельности в континууме «сон-бодрствование»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первого этапа выполняемого проекта проведено анкетирование 422 девочек-подростков, по результатам которого определена частота встречаемости нарушений сна и выявлены некоторые ключевые причины и характеристики сна. Показано, что в возрасте 15-17 лет около 40% респондентов имеют нарушения сна, что, в целом, соответствует литературным данным.  К наиболее интересным результатам следует отнести то, что около 30% подростков с нарушениями сна отмечают наличие этой проблемы в течение 1-5 лет и более. Авторами исследования проанализированы некоторые факторы, способствующие нарушениям сна, в частности, активность в вечернее время, интенсивная интеллектуальная деятельность в период, предшествующий засыпанию. Судя по плану реализации проекта, в целом, далее авторы планируют оценить распространенность и маркеры нарушений цикла «сон-бодрствование» у девочек-подростков, имеющих нарушения менструального цикла, чтобы разработать патогенетически обоснованные методы коррекции нарушенного сна. Запланирована оценка нейрофизиологических характеристик сна, секреции мелатонина в различные периоды менструального цикла, а также при его нарушении. В целом, полученные результаты соответствуют общей проблематике проекта, представляют собой его стартовый этап, развитие которого, судя по описанию проекта, планируется в последующем. По результатам данного этапа опубликованы 2 работы. Отчет носит краткий характер, он основан на применении одного метода исследования (анкетирование по анкете ASHS). В отчете о работах, выполненных в 2023 году, нет информации о том, какое количество респондентов отмечало нарушения менструального цикла и были ли такие нарушения ассоциированы с выявленными изменениями в цикле «сон-бодрствование», что, вероятно, будет являться задачей следующего этапа работы. При реализации проекта авторам рекомендуется конкретизировать основной ожидаемый результат исследования (метод оценки или алгоритм диагностики качества и паттерна сна, либо клинические рекомендации по ведению пациенток молодого возраста с сочетанием нарушений менструального цикла и цикла «сон-бодрствование», либо способ профилактики и/или коррекции нарушений цикла «сон-бодрствование» для повышения эффективности терапии нарушений менструального цикла в подростковом возрасте). Рекомендуется привести результаты патентного поиска и оценить новизну планируемых результатов и разрабатываемых технологий.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А.Б. Салмина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