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раннего прогнозирования и профилактики врожденных пороков развития плода и перинатальной патологии на основе оценки нутриентного статуса, биохимических и молекулярно-генетических маркеров на этапе прегравидарной подготовки и при беременности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Выводы (рекомендации) для принятия управленческих решений на основании популяционных данных, эпидемиологических данных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проведённом сравнительном анализе авторами не исключено влияние генетических причин - моногенных и т.п. - значимость которых  авторами отмечена при  обзоре литературы. Проблема обозначена, но не ясно, планируется ли расширения исследования в данном направлении на последующих этапах выполняемой НИР. Точно так же не оценен вклад приема препаратов фолиевой кисловты и витавинов группы В на этапе предгравидарной подготовки, что авторами также отмечается. Учёт, как минимум, указанных факторов необходим при продолжении НИР.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