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2023-КПМ-0293-1-001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КПМ-0293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диагностической и прогностической панели неблагоприятных исходов беременности на основе анализа геномного состава микробиоты влагалища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FGWN-2023-0011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акушерства, гинекологии и репродуктологии имени Д.О. Отта"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Прочее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Справка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 отчете НИР отсутствует раздел "материалы и методы". Из отчета не ясно ПЦР метод для идентификации лактобацилл использовался собственный, разработанный авторами или коммерчески доступный набор реагентов. В задачах проекта значилось определение различных микрооорганизмов, в том числе видов дрожжеподобных грибов. В отчете отсутвует информация по определению любой другой микрофлоры помимо лактобактерий. Стоит отметить, что женщинам при обращении в женскую консультацию, особенно при наличии каких-либо симптомов дисбиоза назначаются анализы на определения условно-патогенной микрофлоры, куда входит диагностика грибов родов  Candida, бактерий G. vaginalis и  A. vaginae. Невключение в исследование условно-патогенной микрофлоры, которая уже описана как возможно ассоциированная с преждевременными родами и невынашиванием беременности, совершено не ясно и снижает ценность представленных результатов.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Ю.А. Беспятых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