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алгоритма морфологической диагностики при неразвивающейся беременности после ВРТ у женщин с эндометриальной дисфункцией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Указать приоритетную проблему из списка не представляется возможным, так как данная работа посвящена нарушению исплантации эмбриона, репродуктивным потерям, которые, несомненно, являются крайне важными для здоровьесбережения несмотря на отсутствие в перечне. В целом работа выполнена на высоком уровне, методически спланирована грамотна, в работе использован большой клинический материал и широкий спектр современных методов исследования. Работа заслуживает принятия и продления для получения окончательных результатов.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Асатурова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