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2023-КПМ-0373-1-001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КПМ-0373</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Новые технологии оценки риска, лечения и профилактики социально значимых заболеваний нервной системы сосудистого генеза</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FURZ-2023-0010</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"Научный центр неврологии"</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профилактики</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Растущая смертность от болезней системы кровообращения</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3760AE" w:rsidRPr="003760AE" w:rsidRDefault="003760AE" w:rsidP="003760AE">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3760AE" w:rsidRPr="000739BF" w:rsidRDefault="003760AE" w:rsidP="003760AE">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FF3366">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FF3366">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A317CD" w:rsidRDefault="00FF3366" w:rsidP="00FF3366">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Частично соответствует</w:t>
      </w:r>
    </w:p>
    <w:p w:rsidR="00FD1D73" w:rsidRDefault="00FD1D73" w:rsidP="00FF3366">
      <w:pPr>
        <w:spacing w:before="120" w:after="0" w:line="360" w:lineRule="auto"/>
        <w:rPr>
          <w:rFonts w:ascii="Times New Roman" w:hAnsi="Times New Roman" w:cs="Times New Roman"/>
          <w:b/>
          <w:sz w:val="24"/>
          <w:szCs w:val="24"/>
          <w:lang w:val="en-US"/>
        </w:rPr>
      </w:pPr>
    </w:p>
    <w:p w:rsidR="00A317CD" w:rsidRPr="00FF3366" w:rsidRDefault="00A317CD" w:rsidP="00A317CD">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Вид</w:t>
      </w:r>
      <w:r w:rsidRPr="00FF3366">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FF3366">
        <w:rPr>
          <w:rFonts w:ascii="Times New Roman" w:hAnsi="Times New Roman" w:cs="Times New Roman"/>
          <w:sz w:val="24"/>
          <w:szCs w:val="24"/>
          <w:lang w:val="en-US"/>
        </w:rPr>
        <w:t xml:space="preserve">: Метод лечения</w:t>
      </w:r>
    </w:p>
    <w:p w:rsidR="00A317CD" w:rsidRPr="007C37F0"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A317CD"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A317CD" w:rsidTr="009B713B">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A317CD" w:rsidTr="009B713B">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Рост распространенности функциональных зрительных расстройств у детей и взрослых</w:t>
            </w:r>
          </w:p>
        </w:tc>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Повышение качества жизни, связанного с состоянием здоровья</w:t>
            </w:r>
          </w:p>
        </w:tc>
        <w:tc>
          <w:tcPr>
            <w:tcW w:w="3115" w:type="dxa"/>
          </w:tcPr>
          <w:p w:rsidR="00A317CD" w:rsidRPr="003760AE"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A317CD" w:rsidRPr="003760AE" w:rsidRDefault="00A317CD" w:rsidP="00A317CD">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A317CD" w:rsidRPr="000739BF" w:rsidRDefault="00A317CD" w:rsidP="00A317CD">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9B713B">
        <w:trPr>
          <w:trHeight w:val="600"/>
        </w:trPr>
        <w:tc>
          <w:tcPr>
            <w:tcW w:w="432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9B713B">
        <w:trPr>
          <w:trHeight w:val="600"/>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FF3366">
        <w:trPr>
          <w:trHeight w:val="600"/>
        </w:trPr>
        <w:tc>
          <w:tcPr>
            <w:tcW w:w="409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FF3366">
        <w:trPr>
          <w:trHeight w:val="600"/>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A317CD" w:rsidRDefault="00FF3366" w:rsidP="00FF3366">
      <w:pPr>
        <w:spacing w:before="120" w:after="0" w:line="360" w:lineRule="auto"/>
        <w:rPr>
          <w:rFonts w:ascii="Times New Roman" w:hAnsi="Times New Roman" w:cs="Times New Roman"/>
          <w:sz w:val="24"/>
          <w:szCs w:val="24"/>
          <w:lang w:val="en-US"/>
        </w:rPr>
      </w:pPr>
      <w:r w:rsidRPr="00FD1D73">
        <w:rPr>
          <w:rFonts w:ascii="Times New Roman" w:hAnsi="Times New Roman" w:cs="Times New Roman"/>
          <w:sz w:val="24"/>
          <w:szCs w:val="24"/>
          <w:lang w:val="en-US"/>
        </w:rPr>
        <w:t xml:space="preserve">Частично соответствует</w:t>
      </w:r>
    </w:p>
    <w:p w:rsidR="00FD1D73" w:rsidRPr="00FD1D73" w:rsidRDefault="00FD1D73" w:rsidP="00FF3366">
      <w:pPr>
        <w:spacing w:before="120" w:after="0" w:line="360" w:lineRule="auto"/>
        <w:rPr>
          <w:rFonts w:ascii="Times New Roman" w:hAnsi="Times New Roman" w:cs="Times New Roman"/>
          <w:b/>
          <w:sz w:val="24"/>
          <w:szCs w:val="24"/>
          <w:lang w:val="en-US"/>
        </w:rPr>
      </w:pPr>
    </w:p>
    <w:p w:rsidR="00D44EEB" w:rsidRPr="00FD1D73" w:rsidRDefault="00D44EEB" w:rsidP="00D44EEB">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Вид</w:t>
      </w:r>
      <w:r w:rsidRPr="00FD1D73">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FD1D73">
        <w:rPr>
          <w:rFonts w:ascii="Times New Roman" w:hAnsi="Times New Roman" w:cs="Times New Roman"/>
          <w:sz w:val="24"/>
          <w:szCs w:val="24"/>
          <w:lang w:val="en-US"/>
        </w:rPr>
        <w:t xml:space="preserve">: Метод диагностики</w:t>
      </w:r>
    </w:p>
    <w:p w:rsidR="00D44EEB" w:rsidRPr="00FF3366" w:rsidRDefault="00D44EEB" w:rsidP="00D44EEB">
      <w:pPr>
        <w:spacing w:after="0" w:line="360" w:lineRule="auto"/>
        <w:rPr>
          <w:rFonts w:ascii="Times New Roman" w:hAnsi="Times New Roman" w:cs="Times New Roman"/>
          <w:sz w:val="24"/>
          <w:szCs w:val="24"/>
        </w:rPr>
      </w:pPr>
      <w:r>
        <w:rPr>
          <w:rFonts w:ascii="Times New Roman" w:hAnsi="Times New Roman" w:cs="Times New Roman"/>
          <w:sz w:val="24"/>
          <w:szCs w:val="24"/>
        </w:rPr>
        <w:t>Тип</w:t>
      </w:r>
      <w:r w:rsidRPr="00FF3366">
        <w:rPr>
          <w:rFonts w:ascii="Times New Roman" w:hAnsi="Times New Roman" w:cs="Times New Roman"/>
          <w:sz w:val="24"/>
          <w:szCs w:val="24"/>
        </w:rPr>
        <w:t xml:space="preserve"> </w:t>
      </w:r>
      <w:r>
        <w:rPr>
          <w:rFonts w:ascii="Times New Roman" w:hAnsi="Times New Roman" w:cs="Times New Roman"/>
          <w:sz w:val="24"/>
          <w:szCs w:val="24"/>
        </w:rPr>
        <w:t>результата</w:t>
      </w:r>
      <w:r w:rsidRPr="00FF3366">
        <w:rPr>
          <w:rFonts w:ascii="Times New Roman" w:hAnsi="Times New Roman" w:cs="Times New Roman"/>
          <w:sz w:val="24"/>
          <w:szCs w:val="24"/>
        </w:rPr>
        <w:t xml:space="preserve">: Клинические рекомендации</w:t>
      </w:r>
    </w:p>
    <w:p w:rsidR="00D44EEB" w:rsidRDefault="00D44EEB" w:rsidP="00D44EEB">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D44EEB" w:rsidTr="009B713B">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lastRenderedPageBreak/>
              <w:t>Приоритетная проблема медицины и здравоохранения</w:t>
            </w:r>
          </w:p>
        </w:tc>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D44EEB" w:rsidTr="009B713B">
        <w:tc>
          <w:tcPr>
            <w:tcW w:w="3115" w:type="dxa"/>
          </w:tcPr>
          <w:p w:rsidR="00D44EEB" w:rsidRPr="007C37F0"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Растущая смертность от болезней системы кровообращения</w:t>
            </w:r>
          </w:p>
        </w:tc>
        <w:tc>
          <w:tcPr>
            <w:tcW w:w="3115" w:type="dxa"/>
          </w:tcPr>
          <w:p w:rsidR="00D44EEB" w:rsidRPr="007C37F0"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инвалидизации в совершеннолетнем возрасте (предотвращение инвалидности, достижение отсрочки в наступлении инвалидности, переход в менее тяжелую группу инвалидности, снятие инвалидности)</w:t>
            </w:r>
          </w:p>
        </w:tc>
        <w:tc>
          <w:tcPr>
            <w:tcW w:w="3115" w:type="dxa"/>
          </w:tcPr>
          <w:p w:rsidR="00D44EEB" w:rsidRPr="003760AE"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D44EEB" w:rsidTr="009B713B">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D44EEB" w:rsidTr="009B713B">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D44EEB" w:rsidRPr="003760AE" w:rsidRDefault="00D44EEB" w:rsidP="00D44EEB">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D44EEB" w:rsidRPr="000739BF" w:rsidRDefault="00D44EEB" w:rsidP="00D44EEB">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D44EEB" w:rsidRPr="000739BF" w:rsidTr="009B713B">
        <w:trPr>
          <w:trHeight w:val="600"/>
        </w:trPr>
        <w:tc>
          <w:tcPr>
            <w:tcW w:w="4320" w:type="pct"/>
            <w:shd w:val="clear" w:color="auto" w:fill="auto"/>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D44EEB" w:rsidRPr="000739BF" w:rsidTr="009B713B">
        <w:trPr>
          <w:trHeight w:val="600"/>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D44EEB" w:rsidRPr="000739BF" w:rsidTr="00FF3366">
        <w:trPr>
          <w:trHeight w:val="600"/>
        </w:trPr>
        <w:tc>
          <w:tcPr>
            <w:tcW w:w="4090" w:type="pct"/>
            <w:shd w:val="clear" w:color="auto" w:fill="auto"/>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D44EEB" w:rsidRPr="000739BF" w:rsidTr="00FF3366">
        <w:trPr>
          <w:trHeight w:val="600"/>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D44EEB" w:rsidRDefault="00FF3366" w:rsidP="00FF3366">
      <w:pPr>
        <w:spacing w:before="120" w:after="0" w:line="360" w:lineRule="auto"/>
        <w:rPr>
          <w:rFonts w:ascii="Times New Roman" w:hAnsi="Times New Roman" w:cs="Times New Roman"/>
          <w:sz w:val="24"/>
          <w:szCs w:val="24"/>
          <w:lang w:val="en-US"/>
        </w:rPr>
      </w:pPr>
      <w:r w:rsidRPr="00FD1D73">
        <w:rPr>
          <w:rFonts w:ascii="Times New Roman" w:hAnsi="Times New Roman" w:cs="Times New Roman"/>
          <w:sz w:val="24"/>
          <w:szCs w:val="24"/>
          <w:lang w:val="en-US"/>
        </w:rPr>
        <w:t xml:space="preserve">Частично соответствует</w:t>
      </w:r>
    </w:p>
    <w:p w:rsidR="00FD1D73" w:rsidRPr="00FD1D73" w:rsidRDefault="00FD1D73" w:rsidP="00FF3366">
      <w:pPr>
        <w:spacing w:before="120" w:after="0" w:line="360" w:lineRule="auto"/>
        <w:rPr>
          <w:rFonts w:ascii="Times New Roman" w:hAnsi="Times New Roman" w:cs="Times New Roman"/>
          <w:b/>
          <w:sz w:val="24"/>
          <w:szCs w:val="24"/>
          <w:lang w:val="en-US"/>
        </w:rPr>
      </w:pPr>
    </w:p>
    <w:p w:rsidR="000739BF" w:rsidRPr="00FD1D73" w:rsidRDefault="000739BF" w:rsidP="003760AE">
      <w:pPr>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FD1D73">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FD1D73">
        <w:rPr>
          <w:rFonts w:ascii="Times New Roman" w:hAnsi="Times New Roman" w:cs="Times New Roman"/>
          <w:b/>
          <w:sz w:val="24"/>
          <w:szCs w:val="24"/>
          <w:lang w:val="en-US"/>
        </w:rPr>
        <w:t>:</w:t>
      </w:r>
    </w:p>
    <w:p w:rsidR="00D44EEB" w:rsidRPr="00FD1D73" w:rsidRDefault="00D44EEB" w:rsidP="00FC220B">
      <w:pPr>
        <w:spacing w:before="120" w:after="0" w:line="360" w:lineRule="auto"/>
        <w:rPr>
          <w:rFonts w:ascii="Times New Roman" w:hAnsi="Times New Roman" w:cs="Times New Roman"/>
          <w:sz w:val="24"/>
          <w:szCs w:val="24"/>
          <w:lang w:val="en-US"/>
        </w:rPr>
      </w:pPr>
      <w:r w:rsidRPr="00FD1D73">
        <w:rPr>
          <w:rFonts w:ascii="Times New Roman" w:hAnsi="Times New Roman" w:cs="Times New Roman"/>
          <w:sz w:val="24"/>
          <w:szCs w:val="24"/>
          <w:lang w:val="en-US"/>
        </w:rPr>
        <w:t xml:space="preserve">Установлена значительная распространенность модифицируемых и немодифицируемых факторов ССО у больных, перенесших ИИ, в том числе у больных с неинвалидизирующим инсультом, независимых в повседневной жизни. Ранняя диагностика этих факторов возможна при своевременном кардиологическом обследовании больных ИИ, что позволит персонифицировать превентивное лечение, снизить риск ССО и улучшить прогноз больных, перенесших инсульт.. Использование для купирования острого приступа мигрени электрической стимуляции тройничного нерва с помощью прибора Cefaly® и транскраниальной электрической стимуляции (tDCS, англ. transcranial direct current stimulation) требует накопление дальнейшего клинического опыта для уточнения их (не) эффективности при определенных особенностях течения мигрени. Начата разработка алгоритма лабораторной диагностики первичного васкулита ЦНС и его активности по определению уровня провоспалительных цитокинов и ростковых факторов в крови и спинномозговой жидкости.</w:t>
      </w:r>
    </w:p>
    <w:p w:rsidR="00D44EEB" w:rsidRPr="00FD1D73" w:rsidRDefault="00D44EEB" w:rsidP="003760AE">
      <w:pPr>
        <w:spacing w:before="120" w:after="0" w:line="360" w:lineRule="auto"/>
        <w:rPr>
          <w:rFonts w:ascii="Times New Roman" w:hAnsi="Times New Roman" w:cs="Times New Roman"/>
          <w:sz w:val="24"/>
          <w:szCs w:val="24"/>
          <w:lang w:val="en-US"/>
        </w:rPr>
      </w:pPr>
    </w:p>
    <w:p w:rsidR="007865F7" w:rsidRPr="00FD1D73" w:rsidRDefault="007865F7" w:rsidP="007865F7">
      <w:pPr>
        <w:spacing w:after="0" w:line="360" w:lineRule="auto"/>
        <w:jc w:val="center"/>
        <w:rPr>
          <w:rFonts w:ascii="Times New Roman" w:hAnsi="Times New Roman" w:cs="Times New Roman"/>
          <w:sz w:val="28"/>
          <w:szCs w:val="28"/>
          <w:lang w:val="en-US"/>
        </w:rPr>
      </w:pPr>
    </w:p>
    <w:p w:rsidR="0021237F" w:rsidRPr="00FD1D73"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FD1D73">
        <w:rPr>
          <w:rFonts w:ascii="Times New Roman" w:hAnsi="Times New Roman" w:cs="Times New Roman"/>
          <w:sz w:val="24"/>
          <w:szCs w:val="24"/>
          <w:lang w:val="en-US"/>
        </w:rPr>
        <w:t xml:space="preserve"> _________</w:t>
      </w:r>
      <w:r w:rsidR="002736B0" w:rsidRPr="00FD1D73">
        <w:rPr>
          <w:rFonts w:ascii="Times New Roman" w:hAnsi="Times New Roman" w:cs="Times New Roman"/>
          <w:sz w:val="24"/>
          <w:szCs w:val="24"/>
          <w:lang w:val="en-US"/>
        </w:rPr>
        <w:t>_________________________</w:t>
      </w:r>
      <w:r w:rsidRPr="00FD1D73">
        <w:rPr>
          <w:rFonts w:ascii="Times New Roman" w:hAnsi="Times New Roman" w:cs="Times New Roman"/>
          <w:sz w:val="24"/>
          <w:szCs w:val="24"/>
          <w:lang w:val="en-US"/>
        </w:rPr>
        <w:t>_________(</w:t>
      </w:r>
      <w:r w:rsidR="005C73E2" w:rsidRPr="00FD1D73">
        <w:rPr>
          <w:rFonts w:ascii="Times New Roman" w:hAnsi="Times New Roman" w:cs="Times New Roman"/>
          <w:sz w:val="24"/>
          <w:szCs w:val="24"/>
          <w:lang w:val="en-US"/>
        </w:rPr>
        <w:t xml:space="preserve">А.В. Зайцев</w:t>
      </w:r>
      <w:r w:rsidRPr="00FD1D73">
        <w:rPr>
          <w:rFonts w:ascii="Times New Roman" w:hAnsi="Times New Roman" w:cs="Times New Roman"/>
          <w:sz w:val="24"/>
          <w:szCs w:val="24"/>
          <w:lang w:val="en-US"/>
        </w:rPr>
        <w:t>)</w:t>
      </w:r>
    </w:p>
    <w:sectPr w:rsidR="0021237F" w:rsidRPr="00FD1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736B0"/>
    <w:rsid w:val="003760AE"/>
    <w:rsid w:val="00417CCB"/>
    <w:rsid w:val="004F1466"/>
    <w:rsid w:val="005C73E2"/>
    <w:rsid w:val="007865F7"/>
    <w:rsid w:val="007C37F0"/>
    <w:rsid w:val="008C701B"/>
    <w:rsid w:val="00A317CD"/>
    <w:rsid w:val="00AD3C36"/>
    <w:rsid w:val="00B81B6D"/>
    <w:rsid w:val="00BC6D07"/>
    <w:rsid w:val="00D44EEB"/>
    <w:rsid w:val="00FC220B"/>
    <w:rsid w:val="00FD1D73"/>
    <w:rsid w:val="00FF3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1087</Words>
  <Characters>6202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7</cp:revision>
  <dcterms:created xsi:type="dcterms:W3CDTF">2024-10-24T12:31:00Z</dcterms:created>
  <dcterms:modified xsi:type="dcterms:W3CDTF">2024-11-03T12:12:00Z</dcterms:modified>
  <dc:identifier/>
  <dc:language/>
</cp:coreProperties>
</file>