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Поиск, разработка и идентификация механизма действия новых инновационных фармакологических средств пептидной природы - ингибиторов Na+ и Cа2+ каналов предназначенных для повышения толерантности клеток к ишемии-реперфузии.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FEUF-2022-0008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образовательное учреждение высшего образования "Ульяновский государственный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Тематика проекта актуальна и нацелена на совершенствование лечения таких распространенных и чреватых тяжелыми осложнениями заболеваний, как нарушения мозгового и коронарного кровообращения, включая улучшение исходов такого широко применяемого способа реваскуляризации миокарда, как операция стентирования коронарных артерий.</w:t>
        <w:br/>
        <w:t xml:space="preserve">Получены предварительные результаты, которые, однако, далеки от пригодного к практическому внедрению полноценного конечного продукта. В ближайшей перспективе получение конечного продукта (лекарственного средства) маловероятно, хотя предпосылки имеются.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