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2023-Лаб-2022-11-1-001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Лаб-2022-11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Создание систем эпигенетических маркеров ожирения и сахарного диабета, лабораторных протоколов и программно-аппаратного комплекса для анализа результатов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FGFF-2022-0014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"Медико-генетический научный центр имени академика Н.П. Бочкова"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Тест-система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Сахарный диабет: разработка отечественных методов ранней диагностики до дебюта заболевания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Актуальность и потенциальная практическая значимость проекта сомнений не вызывают – ожирение и сахарный диабет 2 типа приобрели характер эпидемии и самым серьезным образом влияют на состояние здоровья популяции и трудовые потери.</w:t>
        <w:br/>
        <w:t xml:space="preserve">Полученные результаты можно рассматривать как задел для достижения целей проекта, включающих разработку диагностических тест-систем. В 2023г опубликованы 2 научные статьи. Положительной стороной проекта является акцент на импортозамещение.</w:t>
        <w:br/>
        <w:t xml:space="preserve"/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В.Г. Вилков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