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научных основ создания вирусных вакцин, обладающих перекрестной протективной активностью в отношении разных антигенных вариантов вируса.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FGFS-2022-0004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вакцин и сывороток им. И.И. Мечникова"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Формат экспертизы нерелевантен тематике исследований. Указанные в анкете критерии не предъявлялись к заявкам на этапе отбора проектов, следовательно и результаты исследований, проведенные в соотвествии с планом работ, представленным в заявке, не могут этим критериям соответствовать. Работа направлена на выработку подходов к созданию вакцин. Разработка вакцин не приоритетна для Минздрава России. Очевидно, что в такие сроки и с таким бюджетом разработка именно вакцин (иммунобиологических препаратов, имеющих государственную регистрацию) была совершенно невозможна.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Д.В. Колбасов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