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2023-Лаб-2022-12-1-001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научных основ создания вирусных вакцин, обладающих перекрестной протективной активностью в отношении разных антигенных вариантов вируса.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FGFS-2022-0004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вакцин и сывороток им. И.И. Мечникова"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Формат экспертизы нерелевантен тематике исследований. Указанные в анкете критерии не предъявлялись к заявкам на этапе отбора проектов, следовательно и результаты исследований, проведенные в соотвествии с планом работ, представленным в заявке, не могут этим критериям соответствовать. Работа направлена на выработку подходов к созданию вакцин. Разработка вакцин не приоритетна для Минздрава России. Очевидно, что в такие сроки и с таким бюджетом разработка именно вакцин (иммунобиологических препаратов, имеющих государственную регистрацию) была совершенно невозможна.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Д.В. Колбасов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