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Органопротекция оксидом азота в сердечно-сосудистой хирургии: технологическое обеспечение (аппаратные комплексы синтеза и устройства доставки), механизмы реализации защитного эффекта и влияние на клинические исходы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FGWM-2022-0032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практическая значимость определяются ведущей ролью сердечно-сосудистых заболеваний в структуре смертности и трудовых потерь за счет снижения риска развития инфаркта миокарда и других осложнений во время операций в условиях искусственного кровообращения. Проект нацелен на совершенствование технологий  периоперационной органопротекции, в первую очередь сердца и почек.</w:t>
        <w:br/>
        <w:t xml:space="preserve">У коллектива имеется научный задел (статьи, в том числе в ведущих зарубежных журналах Q1), результаты интеллектуальной деятельности.</w:t>
        <w:br/>
        <w:t xml:space="preserve">За отчетный 2023г опубликовано 6 научных статей, 2 монографии, подготовлены 2 методические рекомендации, получены 3 патента, имеющие непосредственное отношение к теме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