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технологий, методов и устройств для диагностики и лечения нарушений ритма сердца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Фибрилляция предсердий: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проекта обусловлена большой долей нарушений ритма сердца в структуре смертности от сердечно-сосудистых заболеваний. Проект нацелен на разработку макетного образца интегрированной системы инвазивного электрофизиологического картирования с неинвазивным трехмерным электроанатомическим картированием для диагностики и лечения нарушений ритма сердца, а также новых способов катетерного лечения фибрилляции предсердий.</w:t>
        <w:br/>
        <w:t xml:space="preserve">У руководителя и членов коллектива имеется значительный задел в виде научных публикаций в высокорейтинговых журналах, включая зарубежные, а также патентов на изобретения.</w:t>
        <w:br/>
        <w:t xml:space="preserve">Основные результаты проекта, включая создание макета прототипа устройства, запланированы на 2024г и в представленных на экспертизу материалах не отражены.</w:t>
        <w:br/>
        <w:t xml:space="preserve">В 2023г опубликовано 6 научных статей в ведущих отечественных и зарубежном журналах и зарегистрировано 4 РИД.</w:t>
        <w:br/>
        <w:t xml:space="preserve">Имеющиеся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