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מילון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1"/>
        </w:rPr>
        <w:t xml:space="preserve">מושגים</w:t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*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המונחים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המינים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מתייחס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ומוכרים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שומר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מסחר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הוגן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וחוקי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ממשתמשים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עצמאיות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ודואג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יושרה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Integrity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Rules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לגבות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מקונים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עסקאות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ולגבות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הסכומים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שהוצהרו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מסתיים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שולם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הסכום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האספקה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אושרה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מתהליך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לחוקי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המדינות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ואליהן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נשלחים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מסחר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trading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החנויות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המאפשרים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בנק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').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purchase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ספציפית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וכמותם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המוכרת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ופרטי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shopping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cart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וקניה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והיכולות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מתנתק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נשמרת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לביקורים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עתידיים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הממונה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ומוכרים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מסחר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הוגן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וחוקי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ממשתמשים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עצמאיות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ולדאוג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owner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המורכבת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מאופני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וחוקים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להפעלתם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ושילובם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ולהגדיר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וחוקים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להפעלת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ולשילובן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ומנהלי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הורה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הממונה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מייסד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founder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תפקיד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demotion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התפקיד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ייחודיים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credentials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יחודיים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המזהים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מחובר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online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ואקטיבית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פילטר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filter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ספציפיים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שתוצאות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צריכות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basket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אסף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ספציפית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פעילה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inactive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שנסגרה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המייסד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סגורה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פעילה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ומנהלי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שנסגרת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סגירתה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נפגע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פעילה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מופיעים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בתוצאות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360" w:lineRule="auto"/>
        <w:ind w:left="720" w:hanging="436.535433070865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inbox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תלונות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יופיעו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436.5354330708658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