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920" w:before="0" w:line="266.6664" w:lineRule="auto"/>
        <w:jc w:val="center"/>
        <w:rPr>
          <w:b w:val="1"/>
          <w:sz w:val="56"/>
          <w:szCs w:val="56"/>
        </w:rPr>
      </w:pPr>
      <w:bookmarkStart w:colFirst="0" w:colLast="0" w:name="_g16ibpextafa" w:id="0"/>
      <w:bookmarkEnd w:id="0"/>
      <w:r w:rsidDel="00000000" w:rsidR="00000000" w:rsidRPr="00000000">
        <w:rPr>
          <w:b w:val="1"/>
          <w:sz w:val="56"/>
          <w:szCs w:val="56"/>
          <w:rtl w:val="0"/>
        </w:rPr>
        <w:t xml:space="preserve">Exploratory Data Analysis (EDA) on Startup Funding Dataset</w:t>
      </w:r>
    </w:p>
    <w:p w:rsidR="00000000" w:rsidDel="00000000" w:rsidP="00000000" w:rsidRDefault="00000000" w:rsidRPr="00000000" w14:paraId="00000002">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40" w:before="680" w:line="319.9992" w:lineRule="auto"/>
        <w:ind w:left="0" w:right="0" w:firstLine="0"/>
        <w:jc w:val="left"/>
        <w:rPr>
          <w:b w:val="1"/>
          <w:sz w:val="34"/>
          <w:szCs w:val="34"/>
          <w:u w:val="single"/>
        </w:rPr>
      </w:pPr>
      <w:bookmarkStart w:colFirst="0" w:colLast="0" w:name="_c6br8fcr6nby" w:id="1"/>
      <w:bookmarkEnd w:id="1"/>
      <w:r w:rsidDel="00000000" w:rsidR="00000000" w:rsidRPr="00000000">
        <w:rPr>
          <w:b w:val="1"/>
          <w:sz w:val="34"/>
          <w:szCs w:val="34"/>
          <w:u w:val="single"/>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374151" w:space="0" w:sz="0" w:val="none"/>
          <w:left w:color="374151" w:space="0" w:sz="0" w:val="none"/>
          <w:bottom w:color="374151" w:space="0" w:sz="0" w:val="none"/>
          <w:right w:color="374151" w:space="0" w:sz="0" w:val="none"/>
          <w:between w:color="374151" w:space="0" w:sz="0" w:val="none"/>
        </w:pBdr>
        <w:spacing w:after="120" w:line="390" w:lineRule="auto"/>
        <w:rPr>
          <w:sz w:val="24"/>
          <w:szCs w:val="24"/>
        </w:rPr>
      </w:pPr>
      <w:r w:rsidDel="00000000" w:rsidR="00000000" w:rsidRPr="00000000">
        <w:rPr>
          <w:sz w:val="24"/>
          <w:szCs w:val="24"/>
          <w:rtl w:val="0"/>
        </w:rPr>
        <w:t xml:space="preserve">This document summarizes the exploratory data analysis conducted on the startup funding dataset, focusing on funding trends, industry performance, and key performance indicators (KPIs). The analysis aims to provide insights into investment patterns and identify leading sectors and regions</w:t>
      </w:r>
      <w:r w:rsidDel="00000000" w:rsidR="00000000" w:rsidRPr="00000000">
        <w:rPr>
          <w:sz w:val="24"/>
          <w:szCs w:val="24"/>
          <w:rtl w:val="0"/>
        </w:rPr>
        <w:t xml:space="preserve">.</w:t>
      </w:r>
    </w:p>
    <w:p w:rsidR="00000000" w:rsidDel="00000000" w:rsidP="00000000" w:rsidRDefault="00000000" w:rsidRPr="00000000" w14:paraId="00000006">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40" w:before="680" w:line="319.9992" w:lineRule="auto"/>
        <w:ind w:left="0" w:right="0" w:firstLine="0"/>
        <w:jc w:val="left"/>
        <w:rPr>
          <w:b w:val="1"/>
          <w:sz w:val="34"/>
          <w:szCs w:val="34"/>
          <w:u w:val="single"/>
        </w:rPr>
      </w:pPr>
      <w:bookmarkStart w:colFirst="0" w:colLast="0" w:name="_m1xenu5kvcv3" w:id="2"/>
      <w:bookmarkEnd w:id="2"/>
      <w:r w:rsidDel="00000000" w:rsidR="00000000" w:rsidRPr="00000000">
        <w:rPr>
          <w:b w:val="1"/>
          <w:sz w:val="34"/>
          <w:szCs w:val="34"/>
          <w:u w:val="single"/>
          <w:rtl w:val="0"/>
        </w:rPr>
        <w:t xml:space="preserve">Methodology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374151" w:space="0" w:sz="0" w:val="none"/>
          <w:left w:color="374151" w:space="0" w:sz="0" w:val="none"/>
          <w:bottom w:color="374151" w:space="0" w:sz="0" w:val="none"/>
          <w:right w:color="374151" w:space="0" w:sz="0" w:val="none"/>
          <w:between w:color="374151" w:space="0" w:sz="0" w:val="none"/>
        </w:pBdr>
        <w:shd w:fill="auto" w:val="clear"/>
        <w:spacing w:after="120" w:before="0" w:line="390" w:lineRule="auto"/>
        <w:ind w:left="0" w:right="0" w:firstLine="0"/>
        <w:jc w:val="left"/>
        <w:rPr>
          <w:sz w:val="24"/>
          <w:szCs w:val="24"/>
        </w:rPr>
      </w:pPr>
      <w:r w:rsidDel="00000000" w:rsidR="00000000" w:rsidRPr="00000000">
        <w:rPr>
          <w:sz w:val="24"/>
          <w:szCs w:val="24"/>
          <w:rtl w:val="0"/>
        </w:rPr>
        <w:t xml:space="preserve">The analysis utilized Python libraries such as Pandas, NumPy, Seaborn, Matplotlib, and Plotly. The dataset was loaded, cleaned, and visualized to extract meaningful insights through the following steps:</w:t>
      </w:r>
    </w:p>
    <w:p w:rsidR="00000000" w:rsidDel="00000000" w:rsidP="00000000" w:rsidRDefault="00000000" w:rsidRPr="00000000" w14:paraId="0000000A">
      <w:pPr>
        <w:keepNext w:val="0"/>
        <w:keepLines w:val="0"/>
        <w:pageBreakBefore w:val="0"/>
        <w:widowControl w:val="1"/>
        <w:pBdr>
          <w:top w:color="374151" w:space="0" w:sz="0" w:val="none"/>
          <w:left w:color="374151" w:space="0" w:sz="0" w:val="none"/>
          <w:bottom w:color="374151" w:space="0" w:sz="0" w:val="none"/>
          <w:right w:color="374151" w:space="0" w:sz="0" w:val="none"/>
          <w:between w:color="374151" w:space="0" w:sz="0" w:val="none"/>
        </w:pBdr>
        <w:shd w:fill="auto" w:val="clear"/>
        <w:spacing w:after="120" w:before="0" w:line="39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color="374151" w:space="0" w:sz="0" w:val="none"/>
          <w:left w:color="374151" w:space="0" w:sz="0" w:val="none"/>
          <w:bottom w:color="374151" w:space="0" w:sz="0" w:val="none"/>
          <w:right w:color="374151" w:space="0" w:sz="0" w:val="none"/>
          <w:between w:color="374151" w:space="0" w:sz="0" w:val="none"/>
        </w:pBdr>
        <w:shd w:fill="auto" w:val="clear"/>
        <w:spacing w:after="0" w:afterAutospacing="0" w:before="0" w:line="390" w:lineRule="auto"/>
        <w:ind w:left="720" w:right="0" w:hanging="360"/>
        <w:jc w:val="left"/>
        <w:rPr>
          <w:sz w:val="24"/>
          <w:szCs w:val="24"/>
          <w:u w:val="none"/>
        </w:rPr>
      </w:pPr>
      <w:r w:rsidDel="00000000" w:rsidR="00000000" w:rsidRPr="00000000">
        <w:rPr>
          <w:sz w:val="24"/>
          <w:szCs w:val="24"/>
          <w:rtl w:val="0"/>
        </w:rPr>
        <w:t xml:space="preserve">Data Loading: Loaded from</w:t>
      </w:r>
      <w:r w:rsidDel="00000000" w:rsidR="00000000" w:rsidRPr="00000000">
        <w:rPr>
          <w:sz w:val="24"/>
          <w:szCs w:val="24"/>
          <w:rtl w:val="0"/>
        </w:rPr>
        <w:t xml:space="preserve"> </w:t>
      </w:r>
      <w:r w:rsidDel="00000000" w:rsidR="00000000" w:rsidRPr="00000000">
        <w:rPr>
          <w:sz w:val="24"/>
          <w:szCs w:val="24"/>
          <w:rtl w:val="0"/>
        </w:rPr>
        <w:t xml:space="preserve">Exported_Startup_Filelatest.csv</w:t>
      </w:r>
      <w:r w:rsidDel="00000000" w:rsidR="00000000" w:rsidRPr="00000000">
        <w:rPr>
          <w:sz w:val="24"/>
          <w:szCs w:val="24"/>
          <w:rtl w:val="0"/>
        </w:rPr>
        <w:t xml:space="preserve">.</w:t>
      </w:r>
    </w:p>
    <w:p w:rsidR="00000000" w:rsidDel="00000000" w:rsidP="00000000" w:rsidRDefault="00000000" w:rsidRPr="00000000" w14:paraId="0000000C">
      <w:pPr>
        <w:keepNext w:val="0"/>
        <w:keepLines w:val="0"/>
        <w:pageBreakBefore w:val="0"/>
        <w:widowControl w:val="1"/>
        <w:numPr>
          <w:ilvl w:val="0"/>
          <w:numId w:val="2"/>
        </w:numPr>
        <w:pBdr>
          <w:top w:color="374151" w:space="0" w:sz="0" w:val="none"/>
          <w:left w:color="374151" w:space="0" w:sz="0" w:val="none"/>
          <w:bottom w:color="374151" w:space="0" w:sz="0" w:val="none"/>
          <w:right w:color="374151" w:space="0" w:sz="0" w:val="none"/>
          <w:between w:color="374151" w:space="0" w:sz="0" w:val="none"/>
        </w:pBdr>
        <w:shd w:fill="auto" w:val="clear"/>
        <w:spacing w:after="0" w:afterAutospacing="0" w:before="0" w:line="390" w:lineRule="auto"/>
        <w:ind w:left="720" w:right="0" w:hanging="360"/>
        <w:jc w:val="left"/>
        <w:rPr>
          <w:sz w:val="24"/>
          <w:szCs w:val="24"/>
          <w:u w:val="none"/>
        </w:rPr>
      </w:pPr>
      <w:r w:rsidDel="00000000" w:rsidR="00000000" w:rsidRPr="00000000">
        <w:rPr>
          <w:sz w:val="24"/>
          <w:szCs w:val="24"/>
          <w:rtl w:val="0"/>
        </w:rPr>
        <w:t xml:space="preserve">Data Cleaning: Handled missing values and converted data types.</w:t>
      </w:r>
    </w:p>
    <w:p w:rsidR="00000000" w:rsidDel="00000000" w:rsidP="00000000" w:rsidRDefault="00000000" w:rsidRPr="00000000" w14:paraId="0000000D">
      <w:pPr>
        <w:keepNext w:val="0"/>
        <w:keepLines w:val="0"/>
        <w:pageBreakBefore w:val="0"/>
        <w:widowControl w:val="1"/>
        <w:numPr>
          <w:ilvl w:val="0"/>
          <w:numId w:val="2"/>
        </w:numPr>
        <w:pBdr>
          <w:top w:color="374151" w:space="0" w:sz="0" w:val="none"/>
          <w:left w:color="374151" w:space="0" w:sz="0" w:val="none"/>
          <w:bottom w:color="374151" w:space="0" w:sz="0" w:val="none"/>
          <w:right w:color="374151" w:space="0" w:sz="0" w:val="none"/>
          <w:between w:color="374151" w:space="0" w:sz="0" w:val="none"/>
        </w:pBdr>
        <w:shd w:fill="auto" w:val="clear"/>
        <w:spacing w:after="120" w:before="0" w:line="390" w:lineRule="auto"/>
        <w:ind w:left="720" w:right="0" w:hanging="360"/>
        <w:jc w:val="left"/>
        <w:rPr>
          <w:sz w:val="24"/>
          <w:szCs w:val="24"/>
          <w:u w:val="none"/>
        </w:rPr>
      </w:pPr>
      <w:r w:rsidDel="00000000" w:rsidR="00000000" w:rsidRPr="00000000">
        <w:rPr>
          <w:sz w:val="24"/>
          <w:szCs w:val="24"/>
          <w:rtl w:val="0"/>
        </w:rPr>
        <w:t xml:space="preserve">Visualizations: Created various visualizations to represent the data.</w:t>
      </w:r>
    </w:p>
    <w:p w:rsidR="00000000" w:rsidDel="00000000" w:rsidP="00000000" w:rsidRDefault="00000000" w:rsidRPr="00000000" w14:paraId="0000000E">
      <w:pPr>
        <w:keepNext w:val="0"/>
        <w:keepLines w:val="0"/>
        <w:pageBreakBefore w:val="0"/>
        <w:widowControl w:val="1"/>
        <w:pBdr>
          <w:top w:color="374151" w:space="0" w:sz="0" w:val="none"/>
          <w:left w:color="374151" w:space="0" w:sz="0" w:val="none"/>
          <w:bottom w:color="374151" w:space="0" w:sz="0" w:val="none"/>
          <w:right w:color="374151" w:space="0" w:sz="0" w:val="none"/>
          <w:between w:color="374151" w:space="0" w:sz="0" w:val="none"/>
        </w:pBdr>
        <w:shd w:fill="auto" w:val="clear"/>
        <w:spacing w:after="120" w:before="0" w:line="39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40" w:before="680" w:line="319.9992" w:lineRule="auto"/>
        <w:ind w:left="0" w:right="0" w:firstLine="0"/>
        <w:jc w:val="left"/>
        <w:rPr>
          <w:b w:val="1"/>
          <w:sz w:val="34"/>
          <w:szCs w:val="34"/>
          <w:u w:val="single"/>
        </w:rPr>
      </w:pPr>
      <w:bookmarkStart w:colFirst="0" w:colLast="0" w:name="_pb7ijwsyka7o" w:id="3"/>
      <w:bookmarkEnd w:id="3"/>
      <w:r w:rsidDel="00000000" w:rsidR="00000000" w:rsidRPr="00000000">
        <w:rPr>
          <w:rtl w:val="0"/>
        </w:rPr>
      </w:r>
    </w:p>
    <w:p w:rsidR="00000000" w:rsidDel="00000000" w:rsidP="00000000" w:rsidRDefault="00000000" w:rsidRPr="00000000" w14:paraId="00000010">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40" w:before="680" w:line="319.9992" w:lineRule="auto"/>
        <w:ind w:left="0" w:right="0" w:firstLine="0"/>
        <w:jc w:val="left"/>
        <w:rPr>
          <w:b w:val="1"/>
          <w:sz w:val="34"/>
          <w:szCs w:val="34"/>
          <w:u w:val="single"/>
        </w:rPr>
      </w:pPr>
      <w:bookmarkStart w:colFirst="0" w:colLast="0" w:name="_dxek50fas1cu" w:id="4"/>
      <w:bookmarkEnd w:id="4"/>
      <w:r w:rsidDel="00000000" w:rsidR="00000000" w:rsidRPr="00000000">
        <w:rPr>
          <w:rtl w:val="0"/>
        </w:rPr>
      </w:r>
    </w:p>
    <w:p w:rsidR="00000000" w:rsidDel="00000000" w:rsidP="00000000" w:rsidRDefault="00000000" w:rsidRPr="00000000" w14:paraId="00000011">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40" w:before="680" w:line="319.9992" w:lineRule="auto"/>
        <w:ind w:left="0" w:right="0" w:firstLine="0"/>
        <w:jc w:val="left"/>
        <w:rPr>
          <w:b w:val="1"/>
          <w:sz w:val="34"/>
          <w:szCs w:val="34"/>
          <w:u w:val="single"/>
        </w:rPr>
      </w:pPr>
      <w:bookmarkStart w:colFirst="0" w:colLast="0" w:name="_dmzanqjiv19" w:id="5"/>
      <w:bookmarkEnd w:id="5"/>
      <w:r w:rsidDel="00000000" w:rsidR="00000000" w:rsidRPr="00000000">
        <w:rPr>
          <w:b w:val="1"/>
          <w:sz w:val="34"/>
          <w:szCs w:val="34"/>
          <w:u w:val="single"/>
          <w:rtl w:val="0"/>
        </w:rPr>
        <w:t xml:space="preserve">Key Visualizations and Insights</w:t>
      </w:r>
    </w:p>
    <w:p w:rsidR="00000000" w:rsidDel="00000000" w:rsidP="00000000" w:rsidRDefault="00000000" w:rsidRPr="00000000" w14:paraId="00000012">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pPr>
      <w:r w:rsidDel="00000000" w:rsidR="00000000" w:rsidRPr="00000000">
        <w:rPr>
          <w:sz w:val="24"/>
          <w:szCs w:val="24"/>
          <w:rtl w:val="0"/>
        </w:rPr>
        <w:t xml:space="preserve">Total Funding Across Industries (Treemap):</w:t>
      </w:r>
    </w:p>
    <w:p w:rsidR="00000000" w:rsidDel="00000000" w:rsidP="00000000" w:rsidRDefault="00000000" w:rsidRPr="00000000" w14:paraId="00000013">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Visualizes the top 15 industries by total funding.</w:t>
      </w:r>
    </w:p>
    <w:p w:rsidR="00000000" w:rsidDel="00000000" w:rsidP="00000000" w:rsidRDefault="00000000" w:rsidRPr="00000000" w14:paraId="00000014">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Insights: Highlights dominant sectors and emerging industries (e.g., </w:t>
      </w:r>
      <w:r w:rsidDel="00000000" w:rsidR="00000000" w:rsidRPr="00000000">
        <w:rPr>
          <w:sz w:val="24"/>
          <w:szCs w:val="24"/>
          <w:rtl w:val="0"/>
        </w:rPr>
        <w:t xml:space="preserve">Biotechnology, Mobile, Software)</w:t>
      </w:r>
      <w:r w:rsidDel="00000000" w:rsidR="00000000" w:rsidRPr="00000000">
        <w:rPr>
          <w:color w:val="374151"/>
          <w:sz w:val="24"/>
          <w:szCs w:val="24"/>
          <w:rtl w:val="0"/>
        </w:rPr>
        <w:t xml:space="preserve">.</w:t>
      </w:r>
    </w:p>
    <w:p w:rsidR="00000000" w:rsidDel="00000000" w:rsidP="00000000" w:rsidRDefault="00000000" w:rsidRPr="00000000" w14:paraId="00000015">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sz w:val="24"/>
          <w:szCs w:val="24"/>
          <w:rtl w:val="0"/>
        </w:rPr>
        <w:t xml:space="preserve">Funding Trends Over the Years (Bubble Chart):</w:t>
      </w:r>
    </w:p>
    <w:p w:rsidR="00000000" w:rsidDel="00000000" w:rsidP="00000000" w:rsidRDefault="00000000" w:rsidRPr="00000000" w14:paraId="00000016">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Tracks funding growth over time by industry.</w:t>
      </w:r>
    </w:p>
    <w:p w:rsidR="00000000" w:rsidDel="00000000" w:rsidP="00000000" w:rsidRDefault="00000000" w:rsidRPr="00000000" w14:paraId="00000017">
      <w:pPr>
        <w:keepNext w:val="0"/>
        <w:keepLines w:val="0"/>
        <w:pageBreakBefore w:val="0"/>
        <w:widowControl w:val="1"/>
        <w:numPr>
          <w:ilvl w:val="1"/>
          <w:numId w:val="1"/>
        </w:numPr>
        <w:pBdr>
          <w:top w:color="374151" w:space="0" w:sz="0" w:val="none"/>
          <w:left w:color="374151" w:space="0" w:sz="0" w:val="none"/>
          <w:bottom w:color="374151" w:space="0" w:sz="0" w:val="none"/>
          <w:right w:color="374151" w:space="0" w:sz="0" w:val="none"/>
          <w:between w:color="374151" w:space="0" w:sz="0" w:val="none"/>
        </w:pBdr>
        <w:shd w:fill="auto" w:val="clear"/>
        <w:spacing w:after="0" w:afterAutospacing="0" w:before="0" w:beforeAutospacing="0" w:line="276" w:lineRule="auto"/>
        <w:ind w:left="1440" w:right="0" w:hanging="360"/>
        <w:jc w:val="left"/>
      </w:pPr>
      <w:r w:rsidDel="00000000" w:rsidR="00000000" w:rsidRPr="00000000">
        <w:rPr>
          <w:sz w:val="24"/>
          <w:szCs w:val="24"/>
          <w:rtl w:val="0"/>
        </w:rPr>
        <w:t xml:space="preserve">Insights: Identifies peak investment years and leading sectors.</w:t>
      </w:r>
    </w:p>
    <w:p w:rsidR="00000000" w:rsidDel="00000000" w:rsidP="00000000" w:rsidRDefault="00000000" w:rsidRPr="00000000" w14:paraId="00000018">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sz w:val="24"/>
          <w:szCs w:val="24"/>
          <w:rtl w:val="0"/>
        </w:rPr>
        <w:t xml:space="preserve">Yearly Funding Trends (Line Chart):</w:t>
      </w:r>
      <w:r w:rsidDel="00000000" w:rsidR="00000000" w:rsidRPr="00000000">
        <w:rPr>
          <w:rtl w:val="0"/>
        </w:rPr>
      </w:r>
    </w:p>
    <w:p w:rsidR="00000000" w:rsidDel="00000000" w:rsidP="00000000" w:rsidRDefault="00000000" w:rsidRPr="00000000" w14:paraId="00000019">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Analyzes total funding per year.</w:t>
      </w:r>
    </w:p>
    <w:p w:rsidR="00000000" w:rsidDel="00000000" w:rsidP="00000000" w:rsidRDefault="00000000" w:rsidRPr="00000000" w14:paraId="0000001A">
      <w:pPr>
        <w:keepNext w:val="0"/>
        <w:keepLines w:val="0"/>
        <w:pageBreakBefore w:val="0"/>
        <w:widowControl w:val="1"/>
        <w:numPr>
          <w:ilvl w:val="1"/>
          <w:numId w:val="1"/>
        </w:numPr>
        <w:pBdr>
          <w:top w:color="374151" w:space="0" w:sz="0" w:val="none"/>
          <w:left w:color="374151" w:space="0" w:sz="0" w:val="none"/>
          <w:bottom w:color="374151" w:space="0" w:sz="0" w:val="none"/>
          <w:right w:color="374151" w:space="0" w:sz="0" w:val="none"/>
          <w:between w:color="374151" w:space="0" w:sz="0" w:val="none"/>
        </w:pBdr>
        <w:shd w:fill="auto" w:val="clear"/>
        <w:spacing w:after="0" w:afterAutospacing="0" w:before="0" w:beforeAutospacing="0" w:line="276" w:lineRule="auto"/>
        <w:ind w:left="1440" w:right="0" w:hanging="360"/>
        <w:jc w:val="left"/>
      </w:pPr>
      <w:r w:rsidDel="00000000" w:rsidR="00000000" w:rsidRPr="00000000">
        <w:rPr>
          <w:sz w:val="24"/>
          <w:szCs w:val="24"/>
          <w:rtl w:val="0"/>
        </w:rPr>
        <w:t xml:space="preserve">Insights: Assesses funding stability and growth trends.</w:t>
      </w:r>
    </w:p>
    <w:p w:rsidR="00000000" w:rsidDel="00000000" w:rsidP="00000000" w:rsidRDefault="00000000" w:rsidRPr="00000000" w14:paraId="0000001B">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sz w:val="24"/>
          <w:szCs w:val="24"/>
          <w:rtl w:val="0"/>
        </w:rPr>
        <w:t xml:space="preserve">Top-Funded Startup Categories (Bar Graph):</w:t>
      </w:r>
      <w:r w:rsidDel="00000000" w:rsidR="00000000" w:rsidRPr="00000000">
        <w:rPr>
          <w:rtl w:val="0"/>
        </w:rPr>
      </w:r>
    </w:p>
    <w:p w:rsidR="00000000" w:rsidDel="00000000" w:rsidP="00000000" w:rsidRDefault="00000000" w:rsidRPr="00000000" w14:paraId="0000001C">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Displays the top 10 categories by funding.</w:t>
      </w:r>
    </w:p>
    <w:p w:rsidR="00000000" w:rsidDel="00000000" w:rsidP="00000000" w:rsidRDefault="00000000" w:rsidRPr="00000000" w14:paraId="0000001D">
      <w:pPr>
        <w:keepNext w:val="0"/>
        <w:keepLines w:val="0"/>
        <w:pageBreakBefore w:val="0"/>
        <w:widowControl w:val="1"/>
        <w:numPr>
          <w:ilvl w:val="1"/>
          <w:numId w:val="1"/>
        </w:numPr>
        <w:pBdr>
          <w:top w:color="374151" w:space="0" w:sz="0" w:val="none"/>
          <w:left w:color="374151" w:space="0" w:sz="0" w:val="none"/>
          <w:bottom w:color="374151" w:space="0" w:sz="0" w:val="none"/>
          <w:right w:color="374151" w:space="0" w:sz="0" w:val="none"/>
          <w:between w:color="374151" w:space="0" w:sz="0" w:val="none"/>
        </w:pBdr>
        <w:shd w:fill="auto" w:val="clear"/>
        <w:spacing w:after="0" w:afterAutospacing="0" w:before="0" w:beforeAutospacing="0" w:line="276" w:lineRule="auto"/>
        <w:ind w:left="1440" w:right="0" w:hanging="360"/>
        <w:jc w:val="left"/>
      </w:pPr>
      <w:r w:rsidDel="00000000" w:rsidR="00000000" w:rsidRPr="00000000">
        <w:rPr>
          <w:sz w:val="24"/>
          <w:szCs w:val="24"/>
          <w:rtl w:val="0"/>
        </w:rPr>
        <w:t xml:space="preserve">Insights: Identifies high-growth sectors attracting investment.</w:t>
      </w:r>
    </w:p>
    <w:p w:rsidR="00000000" w:rsidDel="00000000" w:rsidP="00000000" w:rsidRDefault="00000000" w:rsidRPr="00000000" w14:paraId="0000001E">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sz w:val="24"/>
          <w:szCs w:val="24"/>
          <w:rtl w:val="0"/>
        </w:rPr>
        <w:t xml:space="preserve">Funding Round Summary (Bar Chart):</w:t>
      </w:r>
    </w:p>
    <w:p w:rsidR="00000000" w:rsidDel="00000000" w:rsidP="00000000" w:rsidRDefault="00000000" w:rsidRPr="00000000" w14:paraId="0000001F">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Summarizes the number of startups in each funding round.</w:t>
      </w:r>
    </w:p>
    <w:p w:rsidR="00000000" w:rsidDel="00000000" w:rsidP="00000000" w:rsidRDefault="00000000" w:rsidRPr="00000000" w14:paraId="00000020">
      <w:pPr>
        <w:keepNext w:val="0"/>
        <w:keepLines w:val="0"/>
        <w:pageBreakBefore w:val="0"/>
        <w:widowControl w:val="1"/>
        <w:numPr>
          <w:ilvl w:val="1"/>
          <w:numId w:val="1"/>
        </w:numPr>
        <w:pBdr>
          <w:top w:color="374151" w:space="0" w:sz="0" w:val="none"/>
          <w:left w:color="374151" w:space="0" w:sz="0" w:val="none"/>
          <w:bottom w:color="374151" w:space="0" w:sz="0" w:val="none"/>
          <w:right w:color="374151" w:space="0" w:sz="0" w:val="none"/>
          <w:between w:color="374151" w:space="0" w:sz="0" w:val="none"/>
        </w:pBdr>
        <w:shd w:fill="auto" w:val="clear"/>
        <w:spacing w:after="0" w:afterAutospacing="0" w:before="0" w:beforeAutospacing="0" w:line="276" w:lineRule="auto"/>
        <w:ind w:left="1440" w:right="0" w:hanging="360"/>
        <w:jc w:val="left"/>
      </w:pPr>
      <w:r w:rsidDel="00000000" w:rsidR="00000000" w:rsidRPr="00000000">
        <w:rPr>
          <w:sz w:val="24"/>
          <w:szCs w:val="24"/>
          <w:rtl w:val="0"/>
        </w:rPr>
        <w:t xml:space="preserve">Insights: Highlights popular funding stages.</w:t>
      </w:r>
    </w:p>
    <w:p w:rsidR="00000000" w:rsidDel="00000000" w:rsidP="00000000" w:rsidRDefault="00000000" w:rsidRPr="00000000" w14:paraId="00000021">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sz w:val="24"/>
          <w:szCs w:val="24"/>
          <w:rtl w:val="0"/>
        </w:rPr>
        <w:t xml:space="preserve">Geospatial Funding Distribution (Choropleth Map):</w:t>
      </w:r>
      <w:r w:rsidDel="00000000" w:rsidR="00000000" w:rsidRPr="00000000">
        <w:rPr>
          <w:rtl w:val="0"/>
        </w:rPr>
      </w:r>
    </w:p>
    <w:p w:rsidR="00000000" w:rsidDel="00000000" w:rsidP="00000000" w:rsidRDefault="00000000" w:rsidRPr="00000000" w14:paraId="00000022">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Visualizes funding by country.</w:t>
      </w:r>
    </w:p>
    <w:p w:rsidR="00000000" w:rsidDel="00000000" w:rsidP="00000000" w:rsidRDefault="00000000" w:rsidRPr="00000000" w14:paraId="00000023">
      <w:pPr>
        <w:keepNext w:val="0"/>
        <w:keepLines w:val="0"/>
        <w:pageBreakBefore w:val="0"/>
        <w:widowControl w:val="1"/>
        <w:numPr>
          <w:ilvl w:val="1"/>
          <w:numId w:val="1"/>
        </w:numPr>
        <w:pBdr>
          <w:top w:color="374151" w:space="0" w:sz="0" w:val="none"/>
          <w:left w:color="374151" w:space="0" w:sz="0" w:val="none"/>
          <w:bottom w:color="374151" w:space="0" w:sz="0" w:val="none"/>
          <w:right w:color="374151" w:space="0" w:sz="0" w:val="none"/>
          <w:between w:color="374151" w:space="0" w:sz="0" w:val="none"/>
        </w:pBdr>
        <w:shd w:fill="auto" w:val="clear"/>
        <w:spacing w:after="0" w:afterAutospacing="0" w:before="0" w:beforeAutospacing="0" w:line="276" w:lineRule="auto"/>
        <w:ind w:left="1440" w:right="0" w:hanging="360"/>
        <w:jc w:val="left"/>
      </w:pPr>
      <w:r w:rsidDel="00000000" w:rsidR="00000000" w:rsidRPr="00000000">
        <w:rPr>
          <w:sz w:val="24"/>
          <w:szCs w:val="24"/>
          <w:rtl w:val="0"/>
        </w:rPr>
        <w:t xml:space="preserve">Insights: Reveals global investment patterns and regional disparities.</w:t>
      </w:r>
    </w:p>
    <w:p w:rsidR="00000000" w:rsidDel="00000000" w:rsidP="00000000" w:rsidRDefault="00000000" w:rsidRPr="00000000" w14:paraId="00000024">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sz w:val="24"/>
          <w:szCs w:val="24"/>
          <w:rtl w:val="0"/>
        </w:rPr>
        <w:t xml:space="preserve">Top Cities as Investment Hubs (Scatter Chart)</w:t>
      </w:r>
      <w:r w:rsidDel="00000000" w:rsidR="00000000" w:rsidRPr="00000000">
        <w:rPr>
          <w:color w:val="374151"/>
          <w:sz w:val="24"/>
          <w:szCs w:val="24"/>
          <w:rtl w:val="0"/>
        </w:rPr>
        <w:t xml:space="preserve">:</w:t>
      </w:r>
    </w:p>
    <w:p w:rsidR="00000000" w:rsidDel="00000000" w:rsidP="00000000" w:rsidRDefault="00000000" w:rsidRPr="00000000" w14:paraId="00000025">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Identifies the top 10 cities by funding.</w:t>
      </w:r>
    </w:p>
    <w:p w:rsidR="00000000" w:rsidDel="00000000" w:rsidP="00000000" w:rsidRDefault="00000000" w:rsidRPr="00000000" w14:paraId="00000026">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Insights: Highlights leading startup ecosystems</w:t>
      </w:r>
      <w:r w:rsidDel="00000000" w:rsidR="00000000" w:rsidRPr="00000000">
        <w:rPr>
          <w:color w:val="374151"/>
          <w:sz w:val="24"/>
          <w:szCs w:val="24"/>
          <w:rtl w:val="0"/>
        </w:rPr>
        <w:t xml:space="preserve">.</w:t>
      </w:r>
    </w:p>
    <w:p w:rsidR="00000000" w:rsidDel="00000000" w:rsidP="00000000" w:rsidRDefault="00000000" w:rsidRPr="00000000" w14:paraId="00000027">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sz w:val="24"/>
          <w:szCs w:val="24"/>
          <w:rtl w:val="0"/>
        </w:rPr>
        <w:t xml:space="preserve">Interactive Donut Chart of Top Cities:</w:t>
      </w:r>
    </w:p>
    <w:p w:rsidR="00000000" w:rsidDel="00000000" w:rsidP="00000000" w:rsidRDefault="00000000" w:rsidRPr="00000000" w14:paraId="00000028">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Visualizes the top 10 cities, emphasizing the top 3.</w:t>
      </w:r>
      <w:r w:rsidDel="00000000" w:rsidR="00000000" w:rsidRPr="00000000">
        <w:rPr>
          <w:rtl w:val="0"/>
        </w:rPr>
      </w:r>
    </w:p>
    <w:p w:rsidR="00000000" w:rsidDel="00000000" w:rsidP="00000000" w:rsidRDefault="00000000" w:rsidRPr="00000000" w14:paraId="00000029">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Insights: Clearly identifies leading funding hubs.</w:t>
      </w:r>
    </w:p>
    <w:p w:rsidR="00000000" w:rsidDel="00000000" w:rsidP="00000000" w:rsidRDefault="00000000" w:rsidRPr="00000000" w14:paraId="0000002A">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sz w:val="24"/>
          <w:szCs w:val="24"/>
          <w:rtl w:val="0"/>
        </w:rPr>
        <w:t xml:space="preserve">Average Funding per Round (Heatmap):</w:t>
      </w:r>
      <w:r w:rsidDel="00000000" w:rsidR="00000000" w:rsidRPr="00000000">
        <w:rPr>
          <w:rtl w:val="0"/>
        </w:rPr>
      </w:r>
    </w:p>
    <w:p w:rsidR="00000000" w:rsidDel="00000000" w:rsidP="00000000" w:rsidRDefault="00000000" w:rsidRPr="00000000" w14:paraId="0000002B">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sz w:val="24"/>
          <w:szCs w:val="24"/>
          <w:rtl w:val="0"/>
        </w:rPr>
        <w:t xml:space="preserve">Analyzes average funding across rounds.</w:t>
      </w:r>
    </w:p>
    <w:p w:rsidR="00000000" w:rsidDel="00000000" w:rsidP="00000000" w:rsidRDefault="00000000" w:rsidRPr="00000000" w14:paraId="0000002C">
      <w:pPr>
        <w:keepNext w:val="0"/>
        <w:keepLines w:val="0"/>
        <w:pageBreakBefore w:val="0"/>
        <w:widowControl w:val="1"/>
        <w:numPr>
          <w:ilvl w:val="1"/>
          <w:numId w:val="1"/>
        </w:numPr>
        <w:pBdr>
          <w:top w:color="374151" w:space="0" w:sz="0" w:val="none"/>
          <w:left w:color="374151" w:space="0" w:sz="0" w:val="none"/>
          <w:bottom w:color="374151" w:space="0" w:sz="0" w:val="none"/>
          <w:right w:color="374151" w:space="0" w:sz="0" w:val="none"/>
          <w:between w:color="374151" w:space="0" w:sz="0" w:val="none"/>
        </w:pBdr>
        <w:shd w:fill="auto" w:val="clear"/>
        <w:spacing w:after="720" w:before="0" w:beforeAutospacing="0" w:line="276" w:lineRule="auto"/>
        <w:ind w:left="1440" w:right="0" w:hanging="360"/>
        <w:jc w:val="left"/>
      </w:pPr>
      <w:r w:rsidDel="00000000" w:rsidR="00000000" w:rsidRPr="00000000">
        <w:rPr>
          <w:sz w:val="24"/>
          <w:szCs w:val="24"/>
          <w:rtl w:val="0"/>
        </w:rPr>
        <w:t xml:space="preserve">Insights: Reveals funding trends and correlations.</w:t>
      </w:r>
    </w:p>
    <w:p w:rsidR="00000000" w:rsidDel="00000000" w:rsidP="00000000" w:rsidRDefault="00000000" w:rsidRPr="00000000" w14:paraId="0000002D">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40" w:before="680" w:line="319.9992" w:lineRule="auto"/>
        <w:ind w:left="0" w:right="0" w:firstLine="0"/>
        <w:jc w:val="left"/>
        <w:rPr>
          <w:b w:val="1"/>
          <w:sz w:val="34"/>
          <w:szCs w:val="34"/>
          <w:u w:val="single"/>
        </w:rPr>
      </w:pPr>
      <w:bookmarkStart w:colFirst="0" w:colLast="0" w:name="_v9wz4il0ud4r" w:id="6"/>
      <w:bookmarkEnd w:id="6"/>
      <w:r w:rsidDel="00000000" w:rsidR="00000000" w:rsidRPr="00000000">
        <w:rPr>
          <w:b w:val="1"/>
          <w:sz w:val="34"/>
          <w:szCs w:val="34"/>
          <w:u w:val="single"/>
          <w:rtl w:val="0"/>
        </w:rPr>
        <w:t xml:space="preserve">Key Performance Indicators (KPIs)</w:t>
      </w:r>
    </w:p>
    <w:p w:rsidR="00000000" w:rsidDel="00000000" w:rsidP="00000000" w:rsidRDefault="00000000" w:rsidRPr="00000000" w14:paraId="0000002E">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pPr>
      <w:r w:rsidDel="00000000" w:rsidR="00000000" w:rsidRPr="00000000">
        <w:rPr>
          <w:sz w:val="24"/>
          <w:szCs w:val="24"/>
          <w:rtl w:val="0"/>
        </w:rPr>
        <w:t xml:space="preserve">Total Funding Growth Rate: Tracks annual funding dynamics.</w:t>
      </w:r>
      <w:r w:rsidDel="00000000" w:rsidR="00000000" w:rsidRPr="00000000">
        <w:rPr>
          <w:rtl w:val="0"/>
        </w:rPr>
      </w:r>
    </w:p>
    <w:p w:rsidR="00000000" w:rsidDel="00000000" w:rsidP="00000000" w:rsidRDefault="00000000" w:rsidRPr="00000000" w14:paraId="0000002F">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sz w:val="24"/>
          <w:szCs w:val="24"/>
          <w:rtl w:val="0"/>
        </w:rPr>
        <w:t xml:space="preserve">Average Funding per Startup: Provides a benchmark for funding evaluation</w:t>
      </w:r>
      <w:r w:rsidDel="00000000" w:rsidR="00000000" w:rsidRPr="00000000">
        <w:rPr>
          <w:color w:val="374151"/>
          <w:sz w:val="24"/>
          <w:szCs w:val="24"/>
          <w:rtl w:val="0"/>
        </w:rPr>
        <w:t xml:space="preserve">.</w:t>
      </w:r>
    </w:p>
    <w:p w:rsidR="00000000" w:rsidDel="00000000" w:rsidP="00000000" w:rsidRDefault="00000000" w:rsidRPr="00000000" w14:paraId="00000030">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sz w:val="24"/>
          <w:szCs w:val="24"/>
          <w:rtl w:val="0"/>
        </w:rPr>
        <w:t xml:space="preserve">Top 5 Investment Types: Identifies popular funding strategies.</w:t>
      </w:r>
    </w:p>
    <w:p w:rsidR="00000000" w:rsidDel="00000000" w:rsidP="00000000" w:rsidRDefault="00000000" w:rsidRPr="00000000" w14:paraId="00000031">
      <w:pPr>
        <w:keepNext w:val="0"/>
        <w:keepLines w:val="0"/>
        <w:pageBreakBefore w:val="0"/>
        <w:widowControl w:val="1"/>
        <w:numPr>
          <w:ilvl w:val="0"/>
          <w:numId w:val="3"/>
        </w:numPr>
        <w:pBdr>
          <w:top w:color="374151" w:space="0" w:sz="0" w:val="none"/>
          <w:left w:color="374151" w:space="0" w:sz="0" w:val="none"/>
          <w:bottom w:color="374151" w:space="0" w:sz="0" w:val="none"/>
          <w:right w:color="374151" w:space="0" w:sz="0" w:val="none"/>
          <w:between w:color="374151" w:space="0" w:sz="0" w:val="none"/>
        </w:pBdr>
        <w:shd w:fill="auto" w:val="clear"/>
        <w:spacing w:after="0" w:afterAutospacing="0" w:before="0" w:beforeAutospacing="0" w:line="276" w:lineRule="auto"/>
        <w:ind w:left="720" w:right="0" w:hanging="360"/>
        <w:jc w:val="left"/>
      </w:pPr>
      <w:r w:rsidDel="00000000" w:rsidR="00000000" w:rsidRPr="00000000">
        <w:rPr>
          <w:sz w:val="24"/>
          <w:szCs w:val="24"/>
          <w:rtl w:val="0"/>
        </w:rPr>
        <w:t xml:space="preserve">Country &amp; City with Highest Funding: Reveals key investment hubs.</w:t>
      </w:r>
    </w:p>
    <w:p w:rsidR="00000000" w:rsidDel="00000000" w:rsidP="00000000" w:rsidRDefault="00000000" w:rsidRPr="00000000" w14:paraId="00000032">
      <w:pPr>
        <w:keepNext w:val="0"/>
        <w:keepLines w:val="0"/>
        <w:pageBreakBefore w:val="0"/>
        <w:widowControl w:val="1"/>
        <w:numPr>
          <w:ilvl w:val="0"/>
          <w:numId w:val="3"/>
        </w:numPr>
        <w:pBdr>
          <w:top w:color="374151" w:space="0" w:sz="0" w:val="none"/>
          <w:left w:color="374151" w:space="0" w:sz="0" w:val="none"/>
          <w:bottom w:color="374151" w:space="0" w:sz="0" w:val="none"/>
          <w:right w:color="374151" w:space="0" w:sz="0" w:val="none"/>
          <w:between w:color="374151" w:space="0" w:sz="0" w:val="none"/>
        </w:pBdr>
        <w:shd w:fill="auto" w:val="clear"/>
        <w:spacing w:after="420" w:before="0" w:beforeAutospacing="0" w:line="276" w:lineRule="auto"/>
        <w:ind w:left="720" w:right="0" w:hanging="360"/>
        <w:jc w:val="left"/>
      </w:pPr>
      <w:r w:rsidDel="00000000" w:rsidR="00000000" w:rsidRPr="00000000">
        <w:rPr>
          <w:sz w:val="24"/>
          <w:szCs w:val="24"/>
          <w:rtl w:val="0"/>
        </w:rPr>
        <w:t xml:space="preserve">Industry with Highest ROI: Highlights top industries by funding.</w:t>
      </w:r>
    </w:p>
    <w:p w:rsidR="00000000" w:rsidDel="00000000" w:rsidP="00000000" w:rsidRDefault="00000000" w:rsidRPr="00000000" w14:paraId="00000033">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40" w:before="680" w:line="319.9992" w:lineRule="auto"/>
        <w:ind w:left="0" w:right="0" w:firstLine="0"/>
        <w:jc w:val="left"/>
        <w:rPr>
          <w:b w:val="1"/>
          <w:sz w:val="34"/>
          <w:szCs w:val="34"/>
          <w:u w:val="single"/>
        </w:rPr>
      </w:pPr>
      <w:bookmarkStart w:colFirst="0" w:colLast="0" w:name="_h2cn0qp80iiz" w:id="7"/>
      <w:bookmarkEnd w:id="7"/>
      <w:r w:rsidDel="00000000" w:rsidR="00000000" w:rsidRPr="00000000">
        <w:rPr>
          <w:rtl w:val="0"/>
        </w:rPr>
      </w:r>
    </w:p>
    <w:p w:rsidR="00000000" w:rsidDel="00000000" w:rsidP="00000000" w:rsidRDefault="00000000" w:rsidRPr="00000000" w14:paraId="00000034">
      <w:pPr>
        <w:pStyle w:val="Heading2"/>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40" w:before="680" w:line="319.9992" w:lineRule="auto"/>
        <w:ind w:left="0" w:right="0" w:firstLine="0"/>
        <w:jc w:val="left"/>
        <w:rPr>
          <w:b w:val="1"/>
          <w:sz w:val="34"/>
          <w:szCs w:val="34"/>
          <w:u w:val="single"/>
        </w:rPr>
      </w:pPr>
      <w:bookmarkStart w:colFirst="0" w:colLast="0" w:name="_dl6ic5yc0cg9" w:id="8"/>
      <w:bookmarkEnd w:id="8"/>
      <w:r w:rsidDel="00000000" w:rsidR="00000000" w:rsidRPr="00000000">
        <w:rPr>
          <w:b w:val="1"/>
          <w:sz w:val="34"/>
          <w:szCs w:val="34"/>
          <w:u w:val="single"/>
          <w:rtl w:val="0"/>
        </w:rPr>
        <w:t xml:space="preserve">Conclusion</w:t>
      </w:r>
    </w:p>
    <w:p w:rsidR="00000000" w:rsidDel="00000000" w:rsidP="00000000" w:rsidRDefault="00000000" w:rsidRPr="00000000" w14:paraId="00000035">
      <w:pPr>
        <w:pBdr>
          <w:top w:color="374151" w:space="0" w:sz="0" w:val="none"/>
          <w:left w:color="374151" w:space="0" w:sz="0" w:val="none"/>
          <w:bottom w:color="374151" w:space="0" w:sz="0" w:val="none"/>
          <w:right w:color="374151" w:space="0" w:sz="0" w:val="none"/>
          <w:between w:color="374151" w:space="0" w:sz="0" w:val="none"/>
        </w:pBdr>
        <w:spacing w:after="120" w:line="390" w:lineRule="auto"/>
        <w:rPr>
          <w:sz w:val="24"/>
          <w:szCs w:val="24"/>
        </w:rPr>
      </w:pPr>
      <w:r w:rsidDel="00000000" w:rsidR="00000000" w:rsidRPr="00000000">
        <w:rPr>
          <w:sz w:val="24"/>
          <w:szCs w:val="24"/>
          <w:rtl w:val="0"/>
        </w:rPr>
        <w:t xml:space="preserve">The EDA provided valuable insights into startup funding trends, highlighting key industries, regions, and investment patterns. The visualizations serve as essential tools for stakeholders to understand the startup ecosystem and make informed decisions.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