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C22"/>
          <w:sz w:val="44"/>
          <w:szCs w:val="44"/>
        </w:rPr>
        <w:t xml:space="preserve">AI Production Risk Audit</w:t>
      </w:r>
    </w:p>
    <w:p>
      <w:pPr>
        <w:spacing w:after="320"/>
      </w:pPr>
      <w:r>
        <w:rPr>
          <w:i/>
          <w:iCs/>
          <w:color w:val="5F5E5A"/>
          <w:sz w:val="24"/>
          <w:szCs w:val="24"/>
        </w:rPr>
        <w:t xml:space="preserve">Internal methodology — scope, checks, and scoring framework</w:t>
      </w:r>
    </w:p>
    <w:p>
      <w:pPr>
        <w:pStyle w:val="Heading1"/>
      </w:pPr>
      <w:r>
        <w:t xml:space="preserve">1. Purpose of this document</w:t>
      </w:r>
    </w:p>
    <w:p>
      <w:pPr>
        <w:spacing w:after="160"/>
      </w:pPr>
      <w:r>
        <w:t xml:space="preserve">This is the working methodology behind every Strataforge audit engagement. It defines exactly what gets checked, how findings are scored, and how the final report gets structured — so every audit is consistent regardless of which client's stack it's run against, and so a prospective client can be told precisely what they're buying before they sign.</w:t>
      </w:r>
    </w:p>
    <w:p>
      <w:pPr>
        <w:spacing w:after="160"/>
      </w:pPr>
      <w:r>
        <w:t xml:space="preserve">This document is internal. The client-facing version is a one-page summary derived from this; this is the full working reference.</w:t>
      </w:r>
    </w:p>
    <w:p>
      <w:pPr>
        <w:pStyle w:val="Heading1"/>
      </w:pPr>
      <w:r>
        <w:t xml:space="preserve">2. Engagement scope</w:t>
      </w:r>
    </w:p>
    <w:p>
      <w:pPr>
        <w:spacing w:after="160"/>
      </w:pPr>
      <w:r>
        <w:t xml:space="preserve">Fixed scope, fixed price, two weeks. The audit answers one question: where is this AI system most likely to fail in a way that costs the business money, customers, or trust — and how urgent is each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Intake (days 1–2): structured questionnaire, access to architecture docs and repo, one technical interview with the team that built the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Audit (days 3–9): review across the four risk surfaces below, each scored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Report and debrief (days 10–14): ranked findings document plus a 60–90 minute walkthrough call.</w:t>
      </w:r>
    </w:p>
    <w:p>
      <w:pPr>
        <w:pStyle w:val="Heading1"/>
      </w:pPr>
      <w:r>
        <w:t xml:space="preserve">3. The four risk surfaces</w:t>
      </w:r>
    </w:p>
    <w:p>
      <w:pPr>
        <w:pStyle w:val="Heading2"/>
      </w:pPr>
      <w:r>
        <w:t xml:space="preserve">3.1 Data exposure</w:t>
      </w:r>
    </w:p>
    <w:p>
      <w:pPr>
        <w:spacing w:after="160"/>
      </w:pPr>
      <w:r>
        <w:t xml:space="preserve">Where sensitive data is reachable through the AI layer, and whether access is actually controlled or just assumed to 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data sources the AI system can read from and write to, mapped explicitly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permissions on those sources match what the AI layer actually needs, or are broader than intended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access has drifted since launch — old keys, stale service accounts, unreviewed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prompts, outputs, or logs retain sensitive data longer or more visibly than the team realizes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there's any audit trail for what the AI system accessed and when</w:t>
      </w:r>
    </w:p>
    <w:p>
      <w:pPr>
        <w:spacing w:after="80" w:before="120"/>
      </w:pPr>
      <w:r>
        <w:rPr>
          <w:b/>
          <w:bCs/>
          <w:i/>
          <w:iCs/>
          <w:sz w:val="20"/>
          <w:szCs w:val="20"/>
        </w:rPr>
        <w:t xml:space="preserve">Example finding language: </w:t>
      </w:r>
      <w:r>
        <w:rPr>
          <w:i/>
          <w:iCs/>
          <w:color w:val="5F5E5A"/>
          <w:sz w:val="20"/>
          <w:szCs w:val="20"/>
        </w:rPr>
        <w:t xml:space="preserve">“The support-ticket assistant has standing read access to the full customer table, not just the fields it needs — nobody scoped it down after the prototype.”</w:t>
      </w:r>
    </w:p>
    <w:p>
      <w:pPr>
        <w:pStyle w:val="Heading2"/>
      </w:pPr>
      <w:r>
        <w:t xml:space="preserve">3.2 Architecture brittleness</w:t>
      </w:r>
    </w:p>
    <w:p>
      <w:pPr>
        <w:spacing w:after="160"/>
      </w:pPr>
      <w:r>
        <w:t xml:space="preserve">Where the system has single points of failure, undocumented dependencies, or lock-in that would be expensive to discover during an incident rather than before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Single points of failure — one model provider, one pipeline, one script with no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Vendor lock-in — how hard it would be to switch model or infra provider if pricing or reliability forced the issue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Undocumented dependencies — systems that work but nobody currently at the company could explain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Bus factor — how many people understand each critical piece; what breaks if one person leaves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infrastructure-as-code or config changes are reviewed, or pushed directly to production</w:t>
      </w:r>
    </w:p>
    <w:p>
      <w:pPr>
        <w:spacing w:after="80" w:before="120"/>
      </w:pPr>
      <w:r>
        <w:rPr>
          <w:b/>
          <w:bCs/>
          <w:i/>
          <w:iCs/>
          <w:sz w:val="20"/>
          <w:szCs w:val="20"/>
        </w:rPr>
        <w:t xml:space="preserve">Example finding language: </w:t>
      </w:r>
      <w:r>
        <w:rPr>
          <w:i/>
          <w:iCs/>
          <w:color w:val="5F5E5A"/>
          <w:sz w:val="20"/>
          <w:szCs w:val="20"/>
        </w:rPr>
        <w:t xml:space="preserve">“The entire retrieval pipeline depends on a single script one former contractor wrote; no one on the current team has modified it.”</w:t>
      </w:r>
    </w:p>
    <w:p>
      <w:pPr>
        <w:pStyle w:val="Heading2"/>
      </w:pPr>
      <w:r>
        <w:t xml:space="preserve">3.3 Output reliability</w:t>
      </w:r>
    </w:p>
    <w:p>
      <w:pPr>
        <w:spacing w:after="160"/>
      </w:pPr>
      <w:r>
        <w:t xml:space="preserve">Where a wrong or hallucinated output could cause real business harm, and whether anyone would actually notice before the customer did.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Where AI output reaches a customer or a high-stakes decision directly, without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the blast radius is if the output is wrong in those places — cosmetic, costly, or contract-breaking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error or hallucination rates are measured at all, or assumed to be fine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there's monitoring or alerting for output drift, or it relies on someone happening to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the system behaves on edge-case or out-of-distribution input, not just the happy path</w:t>
      </w:r>
    </w:p>
    <w:p>
      <w:pPr>
        <w:spacing w:after="80" w:before="120"/>
      </w:pPr>
      <w:r>
        <w:rPr>
          <w:b/>
          <w:bCs/>
          <w:i/>
          <w:iCs/>
          <w:sz w:val="20"/>
          <w:szCs w:val="20"/>
        </w:rPr>
        <w:t xml:space="preserve">Example finding language: </w:t>
      </w:r>
      <w:r>
        <w:rPr>
          <w:i/>
          <w:iCs/>
          <w:color w:val="5F5E5A"/>
          <w:sz w:val="20"/>
          <w:szCs w:val="20"/>
        </w:rPr>
        <w:t xml:space="preserve">“The pricing-quote generator has no human review step and no logged error rate — the team found out it was wrong from a customer complaint, not from monitoring.”</w:t>
      </w:r>
    </w:p>
    <w:p>
      <w:pPr>
        <w:pStyle w:val="Heading2"/>
      </w:pPr>
      <w:r>
        <w:t xml:space="preserve">3.4 Operational readiness</w:t>
      </w:r>
    </w:p>
    <w:p>
      <w:pPr>
        <w:spacing w:after="160"/>
      </w:pPr>
      <w:r>
        <w:t xml:space="preserve">Whether the system is actually ready to be depended on — at higher load, under failure, and without its original builder in the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Headroom at 5–10x current usage — what breaks first, and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there's a clear owner for the system today, not just whoever built it originally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Recovery time if the system fails — minutes, hours, or “we're not sure”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there's a rollback path if a model or prompt change makes things worse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cost scales predictably, or could spike unexpectedly under load</w:t>
      </w:r>
    </w:p>
    <w:p>
      <w:pPr>
        <w:spacing w:after="80" w:before="120"/>
      </w:pPr>
      <w:r>
        <w:rPr>
          <w:b/>
          <w:bCs/>
          <w:i/>
          <w:iCs/>
          <w:sz w:val="20"/>
          <w:szCs w:val="20"/>
        </w:rPr>
        <w:t xml:space="preserve">Example finding language: </w:t>
      </w:r>
      <w:r>
        <w:rPr>
          <w:i/>
          <w:iCs/>
          <w:color w:val="5F5E5A"/>
          <w:sz w:val="20"/>
          <w:szCs w:val="20"/>
        </w:rPr>
        <w:t xml:space="preserve">“There is no rollback path for prompt changes — the last update that degraded output quality was live for nine days before anyone noticed.”</w:t>
      </w:r>
    </w:p>
    <w:p>
      <w:pPr>
        <w:pStyle w:val="Heading1"/>
      </w:pPr>
      <w:r>
        <w:t xml:space="preserve">4. Scoring framework</w:t>
      </w:r>
    </w:p>
    <w:p>
      <w:pPr>
        <w:spacing w:after="160"/>
      </w:pPr>
      <w:r>
        <w:t xml:space="preserve">Every finding is scored on two independent axes, then combined into a single risk score that determines urgency. This keeps findings comparable across very different systems and avoids the trap of ranking by technical severity alone — a fascinating architectural flaw that's unlikely to ever matter ranks lower than a boring one that's actively leaking data.</w:t>
      </w:r>
    </w:p>
    <w:p>
      <w:pPr>
        <w:spacing w:after="120" w:before="80"/>
      </w:pPr>
      <w:r>
        <w:rPr>
          <w:b/>
          <w:bCs/>
        </w:rPr>
        <w:t xml:space="preserve">Severity × Likelihood, each scored 1–5: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2A2D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2A2D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 (business impact if it fails)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2A2D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 (given current state)</w:t>
            </w:r>
          </w:p>
        </w:tc>
      </w:tr>
      <w:tr>
        <w:tc>
          <w:tcPr>
            <w:tcW w:type="dxa" w:w="78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Customer-facing breach, regulatory exposure, or contract-ending failure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Already happened, or will happen on current trajectory within weeks</w:t>
            </w:r>
          </w:p>
        </w:tc>
      </w:tr>
      <w:tr>
        <w:tc>
          <w:tcPr>
            <w:tcW w:type="dxa" w:w="78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Major customer impact or significant revenue/trust loss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Likely within one quarter under normal usage growth</w:t>
            </w:r>
          </w:p>
        </w:tc>
      </w:tr>
      <w:tr>
        <w:tc>
          <w:tcPr>
            <w:tcW w:type="dxa" w:w="78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Noticeable degradation, support burden, or internal firefighting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Plausible under a specific but realistic trigger (load spike, key person leaving)</w:t>
            </w:r>
          </w:p>
        </w:tc>
      </w:tr>
      <w:tr>
        <w:tc>
          <w:tcPr>
            <w:tcW w:type="dxa" w:w="78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Minor friction, mostly internal, recoverable quickly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Possible but requires unusual conditions</w:t>
            </w:r>
          </w:p>
        </w:tc>
      </w:tr>
      <w:tr>
        <w:tc>
          <w:tcPr>
            <w:tcW w:type="dxa" w:w="78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Cosmetic or theoretical, no real business consequence</w:t>
            </w:r>
          </w:p>
        </w:tc>
        <w:tc>
          <w:tcPr>
            <w:tcW w:type="dxa" w:w="429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42424"/>
                <w:sz w:val="20"/>
                <w:szCs w:val="20"/>
              </w:rPr>
              <w:t xml:space="preserve">Unlikely given current architecture and team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Resulting risk score determines the bucket and response window: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2A2D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score (S × L)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2A2D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2A2D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window</w:t>
            </w:r>
          </w:p>
        </w:tc>
      </w:tr>
      <w:tr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F5C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15 – 25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F5C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F5C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Fix before next release</w:t>
            </w:r>
          </w:p>
        </w:tc>
      </w:tr>
      <w:tr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FAC7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8 – 14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FAC7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FAC7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Fix within 1 quarter</w:t>
            </w:r>
          </w:p>
        </w:tc>
      </w:tr>
      <w:tr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1 – 7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Watch</w:t>
            </w:r>
          </w:p>
        </w:tc>
        <w:tc>
          <w:tcPr>
            <w:tcW w:type="dxa" w:w="3120"/>
            <w:tcBorders>
              <w:top w:val="single" w:color="DADAD4" w:sz="4"/>
              <w:left w:val="single" w:color="DADAD4" w:sz="4"/>
              <w:bottom w:val="single" w:color="DADAD4" w:sz="4"/>
              <w:right w:val="single" w:color="DADAD4" w:sz="4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42424"/>
                <w:sz w:val="20"/>
                <w:szCs w:val="20"/>
              </w:rPr>
              <w:t xml:space="preserve">Track, revisit next audit</w:t>
            </w:r>
          </w:p>
        </w:tc>
      </w:tr>
    </w:tbl>
    <w:p>
      <w:pPr>
        <w:pStyle w:val="Heading1"/>
      </w:pPr>
      <w:r>
        <w:t xml:space="preserve">5. Report structure (client-facing deliverable)</w:t>
      </w:r>
    </w:p>
    <w:p>
      <w:pPr>
        <w:spacing w:after="160"/>
      </w:pPr>
      <w:r>
        <w:t xml:space="preserve">The final report is intentionally short — a ranked findings document, not a technical audit dump. Structure: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One-page executive summary: total findings by bucket, the single biggest risk, and the recommended first fix.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Findings list, Critical first, each with: what it is, why it matters in business terms, risk score, and a recommended fix — not just a description of the problem.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Appendix: full scoring detail and methodology notes, for the technical team to review if they want the underlying reasoning.</w:t>
      </w:r>
    </w:p>
    <w:p>
      <w:pPr>
        <w:spacing w:after="160"/>
      </w:pPr>
      <w:r>
        <w:t xml:space="preserve">Findings are written for the person who has to act on them, not for the person who already understands the system — business impact first, technical detail second.</w:t>
      </w:r>
    </w:p>
    <w:p>
      <w:pPr>
        <w:pStyle w:val="Heading1"/>
      </w:pPr>
      <w:r>
        <w:t xml:space="preserve">6. From audit to remediation</w:t>
      </w:r>
    </w:p>
    <w:p>
      <w:pPr>
        <w:spacing w:after="160"/>
      </w:pPr>
      <w:r>
        <w:t xml:space="preserve">Critical and High findings become the basis for scoped, fixed-price remediation quotes — priced and proposed individually, not as an open-ended retainer. The audit report is the spec; the client decides which findings to act on and in what order.</w:t>
      </w:r>
    </w:p>
    <w:p>
      <w:pPr>
        <w:spacing w:after="160"/>
      </w:pPr>
      <w:r>
        <w:t xml:space="preserve">This is also the source material for case studies (with client permission, anonymized or named) and, over time, the input data for a standardized scoring product.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B4B2A9"/>
        <w:sz w:val="16"/>
        <w:szCs w:val="16"/>
      </w:rPr>
      <w:t xml:space="preserve">Confidential — internal use</w:t>
    </w:r>
    <w:r>
      <w:rPr>
        <w:color w:val="B4B2A9"/>
        <w:sz w:val="16"/>
        <w:szCs w:val="16"/>
      </w:rPr>
      <w:t xml:space="preserve">	Page </w:t>
    </w:r>
    <w:r>
      <w:rPr>
        <w:color w:val="B4B2A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D85A30"/>
        <w:sz w:val="18"/>
        <w:szCs w:val="18"/>
      </w:rPr>
      <w:t xml:space="preserve">STRATAFORGE</w:t>
    </w:r>
    <w:r>
      <w:rPr>
        <w:color w:val="5F5E5A"/>
        <w:sz w:val="18"/>
        <w:szCs w:val="18"/>
      </w:rPr>
      <w:t xml:space="preserve">	AI Production Risk Audit — Internal Methodology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4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5A30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C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C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2026-06-20T21:10:49.173Z</dcterms:created>
  <dcterms:modified xsi:type="dcterms:W3CDTF">2026-06-20T21:10:49.173Z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