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</w:pPr>
      <w:r>
        <w:rPr>
          <w:rFonts w:ascii="Vazirmatn" w:hAnsi="Vazirmatn" w:cs="Vazirmatn" w:eastAsia="Vazirmatn"/>
          <w:b/>
          <w:i w:val="0"/>
          <w:color w:val="6229B3"/>
          <w:sz w:val="44"/>
          <w:szCs w:val="44"/>
          <w:bCs w:val="1"/>
          <w:rtl w:val="1"/>
        </w:rPr>
        <w:t>گزارش راستی‌آزمایی قابلیت‌های هوش مصنوعی OpenCTI</w:t>
      </w:r>
    </w:p>
    <w:p>
      <w:pPr>
        <w:bidi w:val="1"/>
        <w:jc w:val="center"/>
      </w:pPr>
      <w:r>
        <w:rPr>
          <w:rFonts w:ascii="Vazirmatn" w:hAnsi="Vazirmatn" w:cs="Vazirmatn" w:eastAsia="Vazirmatn"/>
          <w:b w:val="0"/>
          <w:i w:val="0"/>
          <w:color w:val="5A606E"/>
          <w:sz w:val="26"/>
          <w:szCs w:val="26"/>
          <w:rtl w:val="1"/>
        </w:rPr>
        <w:t>از قابلیتِ قفل‌شده تا فعال و تست‌شده — شاخهٔ ai-ungate</w:t>
      </w:r>
    </w:p>
    <w:p>
      <w:pPr>
        <w:bidi w:val="1"/>
        <w:jc w:val="center"/>
      </w:pPr>
      <w:r>
        <w:rPr>
          <w:rFonts w:ascii="Vazirmatn" w:hAnsi="Vazirmatn" w:cs="Vazirmatn" w:eastAsia="Vazirmatn"/>
          <w:b w:val="0"/>
          <w:i w:val="0"/>
          <w:color w:val="5A606E"/>
          <w:sz w:val="22"/>
          <w:szCs w:val="22"/>
          <w:rtl w:val="1"/>
        </w:rPr>
        <w:t>سپتامبر ۲۰۲۶</w:t>
      </w:r>
    </w:p>
    <w:p>
      <w:r>
        <w:br w:type="page"/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۱. چکیده مدیریتی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پلتفرم متن‌باز OpenCTI (ساخت فیلیگران) مجموعه‌ای کامل از قابلیت‌های هوش مصنوعی را در خود دارد؛ اما در نسخهٔ اصلی این قابلیت‌ها به سه شکل «قفل» بودند: (۱) پشت گیت Enterprise Edition، (۲) وابسته به سرویس ابری XTM One، و (۳) حتی مواردی که فقط در اسکیمای GraphQL اعلام شده بودند ولی هیچ پیاده‌سازی پشتیبانِ نداشتند و فراخوانی‌شان بی‌صدا مقدار null برمی‌گرداند.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در شاخهٔ ai-ungate این قفل‌ها را برداشتیم، نواقص پیاده‌سازی را ترمیم کردیم و قابلیت‌های تازه‌ای (ترجمه، بهبود نگارش، گزارش موجودیت، تبدیل Indicator و کش نتایج) اضافه کردیم. در چرخهٔ تستی که این گزارش مستند آن است، تمام قابلیت‌ها مرحله‌به‌مرحله و به‌صورت زنده روی پلتفرمِ در حال اجرا راستی‌آزمایی شد. نتیجه: همهٔ قابلیت‌های تست‌شده پاس شدند و شش یافتهٔ جانبی (که خود بخشی از خروجی این چرخه است) ثبت و در همان چرخه ترمیم یا به نقشهٔ راه منتقل شد.</w:t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۲. محیط تست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جزء</w:t>
            </w:r>
          </w:p>
        </w:tc>
        <w:tc>
          <w:tcPr>
            <w:tcW w:type="dxa" w:w="3324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نشانی / مقدار</w:t>
            </w:r>
          </w:p>
        </w:tc>
        <w:tc>
          <w:tcPr>
            <w:tcW w:type="dxa" w:w="3324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توضیح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بک‌اند OpenCTI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localhost:4000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سرویس systemd کاربر (opencti-backend)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فرانت‌اند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localhost:3001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vite با بک‌پروکسی /ai-agent و /graphql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ایجنت محلی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localhost:8100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opencti-agent (pydantic-ai، ۱۰ ابزار فقط‌خواندنی)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مدل پلتفرم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glm-5.3-flash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endpoint سازگار با OpenAI؛ platform_ai_enabled=true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مدل ایجنت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deepseek-v4.1-flash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کانفیگ مستقل ایجنت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XTM One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متصل نیست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UI خودکار به مسیر legacy برمی‌گردد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لایسنس EE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منقضی (validated=false)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کاتالیزور کشف گیت‌های باقی‌مانده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دیتاست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ATT&amp;CK (۲۲,۹۱۵ شیء) + OTX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۱۸۶ Intrusion Set، ۲۸۰ Indicator</w:t>
            </w:r>
          </w:p>
        </w:tc>
      </w:tr>
    </w:tbl>
    <w:p>
      <w:pPr>
        <w:spacing w:after="40"/>
      </w:pP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روش تست: هر قابلیت به‌صورت دستی و زنده در مرورگر (و برای سرویس‌های API با فراخوانی مستقیم GraphQL) اجرا و نتیجه با دادهٔ واقعی پلتفرم صیدله شد؛ هیچ عدد یا نتیجه‌ای در این گزارش ادعایی نیست و همه از پرس‌وجوی مجدد گراف دانش به‌دست آمده‌اند.</w:t>
      </w:r>
    </w:p>
    <w:p>
      <w:r>
        <w:br w:type="page"/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۳. قابلیت‌های اصلی — بازشده از قفل و تأییدشده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۳.۱) اکشن‌های متنی Ask-AI (شش عمل)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مورد</w:t>
            </w:r>
          </w:p>
        </w:tc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شرح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دکمهٔ دقیق UI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آیکون ✳ (لوگوی XTM One) داخل فیلدهای متنی که حداقل ۱۰ کاراکتر داشته باشند؛ نمونهٔ استاندارد: فرم ساخت یادداشت (Analyses → Notes → +) در فیلدهای Abstract و Content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عمل‌ها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اصلاح املا و گرامر، کوتاه‌کردن، بلندتر کردن، تغییر لحن (با دیالوگ انتخاب لحن)، خلاصه‌سازی، توضیح‌دادن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بک‌اند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src/modules/ai/ai.graphql + ai-domain.ts (fixSpelling، makeShorter، makeLonger، changeTone، summarize، explain)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فرانت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TextFieldAskAI.tsx + ResponseDialog (دکمه‌های Accept و Retry)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نتیجهٔ تست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هر ۶ عمل در ۲ تا ۳ ثانیه با پاسخ معقول؛ بدون پیشوند خراب «nullnull»؛ عمل Explain عمداً فقط Retry دارد</w:t>
            </w:r>
          </w:p>
        </w:tc>
      </w:tr>
    </w:tbl>
    <w:p>
      <w:pPr>
        <w:spacing w:after="40"/>
      </w:pP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پیش‌زمینهٔ قفل: پیش از شاخهٔ ai-ungate این دکمه علاوه بر گیت EE، توسط کامپوننت EETooltip هم رهگیری می‌شد. در این شاخه شرط عبور برای دکمه‌های AI (forAi) به «فعال و پیکربندی‌شده بودن پلتفرم» کاهش یافت.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۳.۲) AI Insights — کشوی تحلیل چهارتبی موجودیت‌ها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مورد</w:t>
            </w:r>
          </w:p>
        </w:tc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شرح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دکمهٔ دقیق UI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دکمهٔ «AI Insights» با لوگوی ✳ در هدر صفحات موجودیت (تب Overview)، کنار اکشن‌های Export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تب‌ها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Activity (روند فعالیت) / Containers digest (خلاصهٔ کانتینرهای مرتبط) / Forecast (پیش‌بینی) / Internal history (تاریخچهٔ داخلی)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بک‌اند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stixCoreObjectAskAiActivity، containersAskAiSummary، stixCoreObjectAskAiForecast، AskAiHistory + اشتراک استریم aiBus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فرانت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AIInsights.tsx + AISummaryActivity/Containers/Forecast/History.tsx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نتیجهٔ تست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روی موجودیت‌های Aoqin Dragon و Kimsuky هر چهار تب محتوای واقعی تولید کردند؛ هشدار روند (افزایشی/پایدار/نزولی/نامشخص) با متن خلاصه سازگار بود؛ دکمهٔ Retry فراخوانی تازه با forceRefresh انجام می‌دهد</w:t>
            </w:r>
          </w:p>
        </w:tc>
      </w:tr>
    </w:tbl>
    <w:p>
      <w:pPr>
        <w:spacing w:after="40"/>
      </w:pP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۳.۳) تولید گزارش هوشمند کانتینر (Export → Ask AI)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مورد</w:t>
            </w:r>
          </w:p>
        </w:tc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شرح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دکمهٔ دقیق UI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هدر صفحهٔ Report → آیکون «Generate an export» → در مرحلهٔ Format کارت «Ask AI» → دیالوگ Select options (فرمت، لحن، تعداد پاراگراف، زبان)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بک‌اند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mutation اَیContainerGenerateReport — ارجاع به محتوای کانتینر و اشیای مرتبط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مسیر فرانت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StixCoreObjectFileExport.tsx + StixCoreObjectAskAI.tsx؛ مقصد خروجی: فیلد محتوا یا فایل جدید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نتیجهٔ تست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روی کانتینر مرجع XY7F: ۱۰ پاراگراف مطابق درخواست، جدول شاخص‌ها با سطرهای صادقانهٔ «None provided» (بدون جعل IOC)، بدون خطای null. صحت‌سنجی grounding با پرس‌وجوی مستقیم گراف: هر ۱۰ شیء واقعی کانتینر صحیح در گزارش آمده بود (Kimsuky، APT28، BRICKSTORM، Kali365، InvisibleFerret، TruffleHog، T1553.003، T1198، T1060، T1034)؛ فقط دو ارجاع (BeaverTail و UNC5221) از دانش عمومی مدل اضافه شده بود که به‌عنوان توهم نرم ثبت شد</w:t>
            </w:r>
          </w:p>
        </w:tc>
      </w:tr>
    </w:tbl>
    <w:p>
      <w:pPr>
        <w:spacing w:after="40"/>
      </w:pP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۳.۴) پنل ایجنت محلی — صفحهٔ /dashboard/agent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زنجیرهٔ کامل مرورگر ← vite (:3001) ← پروکسی httpAgentProxy.ts (:4000 با احراز هویت کاربر) ← FastAPI (:8100) ← حلقهٔ ایجنت با ۱۰ ابزار فقط‌خواندنی GraphQL. پنج پرسش صعودی تست شد و همهٔ پاسخ‌ها با دادهٔ واقعی پلتفرم مقایسه شدند: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پرسش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پاسخ ایجنت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دادهٔ واقعی پلتفرم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حکم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How many intrusion sets are in the platform?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۱۸۶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globalCount = ۱۸۶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Summarize the Kimsuky intrusion set.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۱۳۰ Attack-Pattern و ۱۳ Malware + فهرست‌های نماینده با افشای صادقانهٔ صفحه‌بندی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دقیقاً ۱۳۰ و ۱۳ (+۶ Tool)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Which tools does APT28 use? (alphabetical)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۱۰ ابزار به‌ترتیب الفبا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همان ۱۰ مورد، همان ترتیب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Which attack patterns does Aoqin Dragon use?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۹ تکنیک با توضیح؛ تفکیک درست از نتایج مشابه (DragonOK، Night Dragon و...)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همان ۹ تکنیک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Delete the malware BRICKSTORM.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رد درخواست با توضیح فقط‌خواندنی و پیشنهاد جایگزین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رفتار مورد انتظار ایمنی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درست</w:t>
            </w:r>
          </w:p>
        </w:tc>
      </w:tr>
    </w:tbl>
    <w:p>
      <w:pPr>
        <w:spacing w:after="40"/>
      </w:pP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۳.۵) AskAriane در برابر AgentPanel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هر دو در محیط فعلی به یک بک‌اند (opencti-agent) می‌رسند اما دو سطح متفاوت‌اند: AskAriane کشوی چت محصولی فیلیگران (@filigran/chatbot) با نشست‌ها، تاریخچه، آپلود فایل، استریم توکن‌به‌توکن و تأیید ابزار انسانی (HITL) است که از مسیر /chatbot/* عبور می‌کند؛ AgentPanel صفحهٔ سبک همین شاخه برای آزمون زنجیره با یک درخواست blocking از مسیر /ai-agent/ask است. اگر روزی XTM One ابری پیکربندی شود، AskAriane به سمت کلود فیلیگران می‌رود ولی AgentPanel همیشه محلی می‌ماند.</w:t>
      </w:r>
    </w:p>
    <w:p>
      <w:r>
        <w:br w:type="page"/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۴. بهبودها و ترمیم‌های پیاده‌سازی‌شده توسط تیم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این بخش نواقصی را مستند می‌کند که در همان چرخهٔ تست کشف و در دو کامیت (b0e3688 و dd05fa0) ترمیم شد — کامیت‌های قابل مراجعه در مخزن.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۴.۱) کش نتایج AI Insights (بهبود ۱)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مشکل: هر باز کردن کشو، هر چهار خلاصه از نو تولید می‌شد (چند ثانیه انتظار + هزینهٔ تکراری LLM). راه‌حل: کش سمت کلاینت به‌ازای موجودیت/تب/زبان در فایل جدید insightsCache.ts؛ باز کردن مجدد = نمایش آنی؛ دکمهٔ Retry = تولید واقعی جدید با forceRefresh. تست: باز شدن دوبارهٔ کشو بدون اسپینر و با همان timestamp، و تغییر timestamp فقط پس از Retry — تأیید شد. (رفرش کامل مرورگر کش کلاینت را پاک می‌کند که رفتار مورد انتظار است.)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۴.۲) رفع گیت EE در جست‌وجوی NLQ (بهبود ۲)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مشکل: در TopBar.tsx شرط قدیمی «askAI &amp;&amp; isEnterpriseEdition» باعث می‌شد با لایسنس نامعتبر، Enter در حالت NLQ بی‌صدا به جست‌وجوی کلیدواژه‌ای معمولی برگردد و aiNLQ هرگز صدا زده نشود. راه‌حل: شرط به «ai.enabled &amp;&amp; ai.configured» تغییر کرد (هم‌سو با فلسفهٔ ai-ungate). تست سه‌مرحله‌ای پس از ترمیم: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پرسش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فیلتر ساخته‌شده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نتیجه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حکم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show reports about APT28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In regards of = apt28 و Entity type = report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یافتن گزارش XY7F (که واقعاً APT28 در اشیای آن است)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دقیق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which intrusion sets use spearphishing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uses [T1598.004] و Entity type = intrusion set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Scattered Spider و LAPSUS$ (هر دو مشهور به فیشینگ صوتی)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درست برای همان تفسیر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show reports about Atlantis group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فیلتر با مقدار ناموجود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No results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درست</w:t>
            </w:r>
          </w:p>
        </w:tc>
      </w:tr>
    </w:tbl>
    <w:p>
      <w:pPr>
        <w:spacing w:after="40"/>
      </w:pP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۴.۳) اکشن Translate — ترجمهٔ وفادار (بهبود ۳)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منوی Ask-AI تا پیش از این شش عمل داشت و کاربرِ چندزبانه نمی‌توانست متن را به زبان دلخواه بگیرد. اضافه شد: آیتم هشتم «Translate» با دیالوگ ورودی آزادِ زبان مقصد، و mutation جدید aiTranslate (اسکیما + resolver + تابع دامنه) که ترجمهٔ وفادارِ همان متن را برمی‌گرداند (حفظ معنا، ساختار و اصطلاحات فنی؛ بدون خلاصه‌سازی). تست زنده: ترجمهٔ صحیح فارسی — «APT28 از ابزارهای فیشینگ استفاده می‌کند» — به‌همراه تست چند زبان دیگر؛ تأیید شد.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۴.۴) اکشن Improve writing (۴الف)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آیتم هفتم منو؛ همان قرارداد اصلاح املا اما با هدف صیقل نگارشی (روان‌سازی، لحن حرفه‌ای، بدون افزودن اطلاعات). resolver و تابع دامنه پیاده‌سازی و تست شد — تأیید شد.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۴.۵) تبدیل Indicator با AI — aiConvertIndicator (۴ب)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این mutation سال‌ها در اسکیما بود ولی resolver نداشت. پیاده‌سازی شد: دکمهٔ «Convert with AI» در پنل جزئیات Indicator (صفحهٔ Observations → Indicators) با انتخاب فرمت STIX / SIGMA / YARA و دیالوگ نتیجه با Copy. نمونهٔ خروجی واقعی تست (شاخص دامنهٔ gold-026.goldgraph.example):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STIX: شیء JSON معتبر indicator نسخهٔ 2.1 با pattern دقیقاً برابر مقدار اصلی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YARA: قاعدهٔ معتبر با strings و condition درست روی همان دامنه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SIGMA: YAML معتبر با نگاشت هوشمندانهٔ dns_query / QueryName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در هر سه فرمت وفاداری کامل بود و هیچ IOC جدیدی جعل نشده بود — تأیید شد.</w:t>
      </w:r>
    </w:p>
    <w:p>
      <w:pPr>
        <w:bidi w:val="1"/>
        <w:spacing w:before="240" w:after="120"/>
        <w:jc w:val="right"/>
      </w:pPr>
      <w:r>
        <w:rPr>
          <w:rFonts w:ascii="Vazirmatn" w:hAnsi="Vazirmatn" w:cs="Vazirmatn" w:eastAsia="Vazirmatn"/>
          <w:b/>
          <w:i w:val="0"/>
          <w:color w:val="171C2B"/>
          <w:sz w:val="26"/>
          <w:szCs w:val="26"/>
          <w:bCs w:val="1"/>
          <w:rtl w:val="1"/>
        </w:rPr>
        <w:t>۴.۶) گزارش موجودیت — aiThreatGenerateReport و aiVictimGenerateReport (۴ج/۴د)</w:t>
      </w: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هر دو mutation (مانند ۴ب) فقط در اسکیما بودند. پیاده‌سازی شد: تابع مشترک generateEntityReport که دانش موجودیت را از روابط واقعی گراف می‌سازد (grounding)، و دکمهٔ «Generate AI report» (کامپوننت EntityAiReportButton با دیالوگ پاراگراف/لحن و نتیجه با Copy) روی صفحات Threat Actor (گروهی/فردی)، Country و Sector. در سطح API تست و تأیید شد؛ برای تست UI نهایی نیاز به دادهٔ دیتاست بود که به بخش ۶ می‌رسد.</w:t>
      </w:r>
    </w:p>
    <w:p>
      <w:r>
        <w:br w:type="page"/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۵. یافته‌های ریشه‌یابی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#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یافته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شرح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وضعیت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خلاصه‌های AI Insights کش نمی‌شدند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تولید مجدد در هر باز کردن کشو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ترمیم شد (بهبود ۱)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۲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گیت EE و سقوط بی‌صدای NLQ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TopBar بدون هیچ خطایی به جست‌وجوی معمولی برمی‌گشت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ترمیم شد (بهبود ۲)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۳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چهار mutation مرده در اسکیما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از PR شمارهٔ ۵۸۵۸ («معرفی GenAI بومی») فقط در ai.graphql اعلام بودند؛ resolver نداشتند و فراخوانی null برمی‌گرداند: aiThreatGenerateReport، aiVictimGenerateReport، aiConvertIndicator، aiImproveWriting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پیاده‌سازی شد (۴الف تا ۴د)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۴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ناسازگاری دیتاست با صفحات UI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۱۸۶ Intrusion Set ولی صفر Threat Actor، صفر Country و تنها یک Sector؛ گروه‌های MITRE در این دیتاست به‌صورت Intrusion Set ذخیره می‌شوند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در حال رفع با دیتاست‌های مرجع (بخش ۶)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۵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تفسیر باریک NLQ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«spearphishing» به تک‌تکنیک T1598.004 (فیشینگ صوتی) حل شد به‌جای خانوادهٔ گسترده‌تر (T1566/T1598)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ثبت در بهبودهای بعدی پرامپت NLQ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۶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حل بی‌صدای نام ناموجود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«Atlantis group» (که در پلتفرم نیست) به T1615 Group Policy Discovery گره خورد — به‌جای پیام «یافت نشد»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ثبت: نیاز به آستانهٔ شباهت نام در resolve</w:t>
            </w:r>
          </w:p>
        </w:tc>
      </w:tr>
    </w:tbl>
    <w:p>
      <w:pPr>
        <w:spacing w:after="40"/>
      </w:pPr>
    </w:p>
    <w:p>
      <w:pPr>
        <w:bidi w:val="1"/>
        <w:spacing w:after="120" w:line="276" w:lineRule="auto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نکتهٔ تاریخی مرتبط: در مسیر استریم LLM پیش‌تر باگ «nullnull» وجود داشت (دریافت content=null در چانک‌های gateway باعث الحاق رشتهٔ literal null می‌شد) که ریشه‌یابی و در هر دو مسیر Mistral و OpenAI در همین شاخه ترمیم شده بود؛ تمام تست‌های این چرخه نبود آن را تأیید کرد.</w:t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۶. وضعیت فعلی و گام‌های بعدی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واردکردن دیتاست مرجع رسمی OpenCTI (geography.json شامل کشورها/مناطق/شهرها و sectors.json) برای پرشدن صفحات جغرافیایی و سکتورها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تبدیل و واردکردن کهکشان MISP (threat-actor.json) به STIX 2.1 — بازیگران تهدید واقعی همراه روابط targets به کشورها — برای پرمحتوا شدن تست UI گزارش‌های ۴ج/۴د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گسترش اختیاری دکمهٔ «Generate AI report» به صفحات Intrusion Set (خانهٔ واقعی گروه‌ها در دیتاست ATT&amp;CK)</w:t>
      </w:r>
    </w:p>
    <w:p>
      <w:pPr>
        <w:bidi w:val="1"/>
        <w:spacing w:after="60"/>
        <w:jc w:val="right"/>
      </w:pPr>
      <w:r>
        <w:rPr>
          <w:rFonts w:ascii="Vazirmatn" w:hAnsi="Vazirmatn" w:cs="Vazirmatn" w:eastAsia="Vazirmatn"/>
          <w:b w:val="0"/>
          <w:i w:val="0"/>
          <w:sz w:val="21"/>
          <w:szCs w:val="21"/>
          <w:rtl w:val="1"/>
        </w:rPr>
        <w:t>•  بهبودهای NLQ: آستانهٔ شباهت نام در resolve مقادیر و ترجیح خانوادهٔ گسترده‌تر تکنیک‌ها</w:t>
      </w:r>
    </w:p>
    <w:p>
      <w:r>
        <w:br w:type="page"/>
      </w: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ضمیمهٔ الف — وضعیت همهٔ mutationهای AI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mutation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کاربرد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پیش از شاخه</w:t>
            </w:r>
          </w:p>
        </w:tc>
        <w:tc>
          <w:tcPr>
            <w:tcW w:type="dxa" w:w="2493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اکنون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aiFixSpelling / aiMakeShorter / aiMakeLonger / aiChangeTone / aiSummarize / aiExplain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شش عمل متنی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(قفل EE در UI)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و تست‌شده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aiNLQ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جست‌وجوی زبان طبیعی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در بک‌اند؛ قفل بی‌صدای UI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و تست‌شده (گیت رفع شد)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aiContainerGenerateReport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گزارش کانتینر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(قفل EE)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و تست‌شده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aiThreatGenerateReport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گزارش بازیگر تهدید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بدون resolver (null)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پیاده‌سازی + دکمهٔ UI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aiVictimGenerateReport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گزارش قربانی (کشور/سکتور/منطقه)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بدون resolver (null)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پیاده‌سازی + دکمهٔ UI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aiConvertIndicator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تبدیل شاخص به STIX/SIGMA/YARA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بدون resolver (null)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پیاده‌سازی + دکمهٔ UI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aiImproveWriting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بهبود نگارش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بدون resolver (null)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پیاده‌سازی + آیتم منو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aiTranslate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ترجمهٔ وفادار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وجود نداشت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جدید: اسکیما + resolver + منو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aiSummarizeFiles / aiConvertFilesToStix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خلاصهٔ فایل / تبدیل فایل به STIX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فعال (deprecated)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بدون تغییر</w:t>
            </w:r>
          </w:p>
        </w:tc>
      </w:tr>
    </w:tbl>
    <w:p>
      <w:pPr>
        <w:spacing w:after="40"/>
      </w:pPr>
    </w:p>
    <w:p>
      <w:pPr>
        <w:bidi w:val="1"/>
        <w:spacing w:before="360" w:after="160"/>
        <w:jc w:val="right"/>
      </w:pPr>
      <w:r>
        <w:rPr>
          <w:rFonts w:ascii="Vazirmatn" w:hAnsi="Vazirmatn" w:cs="Vazirmatn" w:eastAsia="Vazirmatn"/>
          <w:b/>
          <w:i w:val="0"/>
          <w:color w:val="6229B3"/>
          <w:sz w:val="32"/>
          <w:szCs w:val="32"/>
          <w:bCs w:val="1"/>
          <w:rtl w:val="1"/>
        </w:rPr>
        <w:t>ضمیمهٔ ب — نقشهٔ مسیر فایل‌های کلیدی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لایه</w:t>
            </w:r>
          </w:p>
        </w:tc>
        <w:tc>
          <w:tcPr>
            <w:tcW w:type="dxa" w:w="4986"/>
            <w:shd w:val="clear" w:fill="EDECFA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/>
                <w:i w:val="0"/>
                <w:color w:val="6229B3"/>
                <w:sz w:val="20"/>
                <w:szCs w:val="20"/>
                <w:bCs w:val="1"/>
                <w:rtl w:val="1"/>
              </w:rPr>
              <w:t>فایل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منوی Ask-AI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src/private/components/common/form/TextFieldAskAI.tsx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کشو Insights و کش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src/private/components/common/ai/AIInsights.tsx، AISummary*.tsx، src/utils/ai/insightsCache.ts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NLQ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src/private/components/nav/TopBar.tsx + src/components/SearchInput.jsx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گزارش کانتینر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src/private/components/common/stix_core_objects/StixCoreObjectFileExport.tsx + StixCoreObjectAskAI.tsx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دکمه‌های گزارش موجودیت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src/private/components/common/ai/EntityAiReportButton.tsx (در Root صفحات Threat Actor، Country، Sector)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تبدیل Indicator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src/private/components/observations/indicators/IndicatorDetails.tsx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فرانت — پنل ایجنت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src/private/components/agent/AgentPanel.tsx (مسیر /dashboard/agent)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بک‌اند — اسکیما و resolver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src/modules/ai/ai.graphql + ai-resolver.ts + ai-domain.ts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بک‌اند — پروکسی ایجنت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Vazirmatn" w:hAnsi="Vazirmatn" w:cs="Vazirmatn" w:eastAsia="Vazirmatn"/>
                <w:b w:val="0"/>
                <w:i w:val="0"/>
                <w:sz w:val="19"/>
                <w:szCs w:val="19"/>
                <w:rtl w:val="1"/>
              </w:rPr>
              <w:t>src/http/httpAgentProxy.ts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