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0.png" ContentType="image/png"/>
  <Override PartName="/word/media/rId23.png" ContentType="image/png"/>
  <Override PartName="/word/media/rId57.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0"/>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true"/>
                <w:u w:val="none"/>
                <w:strike w:val="false"/>
                <w:sz w:val="40"/>
                <w:szCs w:val="4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40"/>
                <w:szCs w:val="40"/>
                <w:color w:val="FFFFFF"/>
              </w:rPr>
              <w:t xml:space="preserve">Terms of Reference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Integrated Public Health Rapid Assessment (IPHRA)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MOZ9856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Mozambique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20699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Version: 1</w:t>
            </w:r>
          </w:p>
        </w:tc>
      </w:tr>
    </w:tbl>
    <w:p>
      <w:pPr>
        <w:pStyle w:val="FirstParagraph"/>
      </w:pP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 Files\RStudio\resources\app\bin\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complete this ToR</w:t>
            </w:r>
          </w:p>
        </w:tc>
      </w:tr>
      <w:tr>
        <w:trPr>
          <w:cantSplit/>
        </w:trPr>
        <w:tc>
          <w:tcPr>
            <w:tcMar>
              <w:top w:w="108" w:type="dxa"/>
              <w:bottom w:w="108" w:type="dxa"/>
            </w:tcMar>
          </w:tcPr>
          <w:p>
            <w:pPr>
              <w:pStyle w:val="BodyText"/>
            </w:pPr>
            <w:pPr>
              <w:spacing w:before="16"/>
            </w:pPr>
            <w:r>
              <w:t xml:space="preserve">Step 1: Review each Note and Tip for instructions on how to complete the various ToR sections. You can leave these in for RQA submission if you like, but these boxes should be deleted before external sharing or Repository Submission.</w:t>
            </w:r>
          </w:p>
          <w:p>
            <w:pPr>
              <w:pStyle w:val="BodyText"/>
            </w:pPr>
            <w:r>
              <w:t xml:space="preserve">Step 2:</w:t>
            </w:r>
          </w:p>
          <w:p>
            <w:pPr>
              <w:pStyle w:val="BodyText"/>
            </w:pPr>
            <w:pPr>
              <w:spacing w:after="16"/>
            </w:pPr>
            <w:r>
              <w:rPr>
                <w:b/>
                <w:bCs/>
              </w:rPr>
              <w:t xml:space="preserve">DELETE THIS NOTE BEFORE SUBMITTING DOCUMENT</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Program Files\RStudio\resources\app\bin\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PLACEHOLDER - Coherence Report</w:t>
            </w:r>
          </w:p>
        </w:tc>
      </w:tr>
      <w:tr>
        <w:trPr>
          <w:cantSplit/>
        </w:trPr>
        <w:tc>
          <w:tcPr>
            <w:tcMar>
              <w:top w:w="108" w:type="dxa"/>
              <w:bottom w:w="108" w:type="dxa"/>
            </w:tcMar>
          </w:tcPr>
          <w:p>
            <w:pPr>
              <w:pStyle w:val="BodyText"/>
            </w:pPr>
            <w:pPr>
              <w:spacing w:before="16"/>
            </w:pPr>
            <w:r>
              <w:t xml:space="preserve">This is a placeholder note for a future feature which will highlight any coherence issues between selected objectives, indicators, and methods against each other and expected core recommendations in IPHRA.</w:t>
            </w:r>
          </w:p>
          <w:p>
            <w:pPr>
              <w:pStyle w:val="BodyText"/>
            </w:pPr>
            <w:pPr>
              <w:spacing w:after="16"/>
            </w:pPr>
            <w:r>
              <w:rPr>
                <w:b/>
                <w:bCs/>
              </w:rPr>
              <w:t xml:space="preserve">DELETE THIS NOTE BEFORE SUBMITTING DOCUMENT</w:t>
            </w:r>
          </w:p>
        </w:tc>
      </w:tr>
    </w:tbl>
    <w:p>
      <w:r>
        <w:br w:type="page"/>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C:\Program Files\RStudio\resources\app\bin\quarto\share\formats\docx\tip.png" id="2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Please write click and update table of contents below to populate the table.</w:t>
            </w:r>
          </w:p>
          <w:p>
            <w:pPr>
              <w:pStyle w:val="BodyText"/>
            </w:pPr>
            <w:pPr>
              <w:spacing w:after="16"/>
            </w:pPr>
            <w:r>
              <w:rPr>
                <w:b/>
                <w:bCs/>
              </w:rPr>
              <w:t xml:space="preserve">DELETE THIS NOTE BEFORE SUBMITTING DOCUMENT</w:t>
            </w:r>
          </w:p>
        </w:tc>
      </w:tr>
    </w:tbl>
    <w:p>
      <w:pPr>
        <w:pStyle w:val="BodyText"/>
      </w:pPr>
      <w:r>
        <w:rPr>
          <w:b/>
          <w:bCs/>
        </w:rPr>
        <w:t xml:space="preserve">Table of Contents</w:t>
      </w:r>
    </w:p>
    <w:p>
      <w:r>
        <w:fldChar w:fldCharType="begin"/>
      </w:r>
      <w:r>
        <w:instrText xml:space="preserve">TOC \o "1-3" \h \z \u</w:instrText>
      </w:r>
      <w:r>
        <w:fldChar w:fldCharType="separate"/>
      </w:r>
      <w:r>
        <w:t>Right-click and update field to generate table of contents.</w:t>
      </w:r>
      <w:r>
        <w:fldChar w:fldCharType="end"/>
      </w:r>
    </w:p>
    <w:p>
      <w:r>
        <w:br w:type="page"/>
      </w:r>
    </w:p>
    <w:bookmarkStart w:id="34" w:name="executive-summary"/>
    <w:p>
      <w:pPr>
        <w:pStyle w:val="Heading1"/>
      </w:pPr>
      <w:r>
        <w:t xml:space="preserve">1. Executive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Country of intervention</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Type of Emergency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Type of Crisis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Mandating Body/ Agency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IMPACT Project Code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Mozambique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Conflict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Protracted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Health Cluster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98BSY</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Geographic Coverage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Population(s)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Stratification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The geographic bounds of Muedo Town in Cabo Delgado, Mozambique.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150000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Population group (Host and IDP)</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74"/>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Rationale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Recent conflict related displacements into Muedo Town from surrounding communities has occurred in July and August 2026. The influx of IDPs has overwhelmed public health services. An IPHRA is needed to understand what are the priority needs and public health services gaps. </w:t>
            </w:r>
          </w:p>
        </w:tc>
      </w:tr>
    </w:tbl>
    <w:bookmarkStart w:id="28" w:name="tools-and-methods"/>
    <w:p>
      <w:pPr>
        <w:pStyle w:val="Heading2"/>
      </w:pPr>
      <w:r>
        <w:t xml:space="preserve">1.1 Tools and Methods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blHeader/>
        </w:trPr>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Tool</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Sampling.Method</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Sample.Size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 Survey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simple_random_even - Random Location Cluster (RLC) household sampling, Cluster PPS with replacement - Simple random household sampling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640</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Community Key Informant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Purposive / Random Walk</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36</w:t>
            </w:r>
          </w:p>
        </w:tc>
      </w:tr>
    </w:tbl>
    <w:bookmarkEnd w:id="28"/>
    <w:bookmarkStart w:id="32" w:name="research-timeline"/>
    <w:p>
      <w:pPr>
        <w:pStyle w:val="Heading2"/>
      </w:pPr>
      <w:r>
        <w:t xml:space="preserve">1.2 Research Timeline</w:t>
      </w:r>
    </w:p>
    <w:p>
      <w:pPr>
        <w:pStyle w:val="FirstParagraph"/>
      </w:pPr>
      <w:r>
        <w:drawing>
          <wp:inline>
            <wp:extent cx="6210300" cy="1774371"/>
            <wp:effectExtent b="0" l="0" r="0" t="0"/>
            <wp:docPr descr="" title="" id="30" name="Picture"/>
            <a:graphic>
              <a:graphicData uri="http://schemas.openxmlformats.org/drawingml/2006/picture">
                <pic:pic>
                  <pic:nvPicPr>
                    <pic:cNvPr descr="quarto_doc_revised_template_files/figure-docx/timeline-1.png" id="31" name="Picture"/>
                    <pic:cNvPicPr>
                      <a:picLocks noChangeArrowheads="1" noChangeAspect="1"/>
                    </pic:cNvPicPr>
                  </pic:nvPicPr>
                  <pic:blipFill>
                    <a:blip r:embed="rId29"/>
                    <a:stretch>
                      <a:fillRect/>
                    </a:stretch>
                  </pic:blipFill>
                  <pic:spPr bwMode="auto">
                    <a:xfrm>
                      <a:off x="0" y="0"/>
                      <a:ext cx="6210300" cy="1774371"/>
                    </a:xfrm>
                    <a:prstGeom prst="rect">
                      <a:avLst/>
                    </a:prstGeom>
                    <a:noFill/>
                    <a:ln w="9525">
                      <a:noFill/>
                      <a:headEnd/>
                      <a:tailEnd/>
                    </a:ln>
                  </pic:spPr>
                </pic:pic>
              </a:graphicData>
            </a:graphic>
          </wp:inline>
        </w:drawing>
      </w:r>
    </w:p>
    <w:bookmarkEnd w:id="32"/>
    <w:bookmarkStart w:id="33" w:name="dissemination"/>
    <w:p>
      <w:pPr>
        <w:pStyle w:val="Heading2"/>
      </w:pPr>
      <w:r>
        <w:t xml:space="preserve">1.3 Dissemination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37"/>
        <w:gridCol w:w="1337"/>
        <w:gridCol w:w="1337"/>
        <w:gridCol w:w="1337"/>
        <w:gridCol w:w="1337"/>
        <w:gridCol w:w="1337"/>
        <w:gridCol w:w="1337"/>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Audience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Audience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Expected Outputs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Output Counts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Dissemination</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Access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Visibility</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bl>
    <w:p>
      <w:r>
        <w:br w:type="page"/>
      </w:r>
    </w:p>
    <w:bookmarkEnd w:id="33"/>
    <w:bookmarkEnd w:id="34"/>
    <w:bookmarkStart w:id="43" w:name="rationale"/>
    <w:p>
      <w:pPr>
        <w:pStyle w:val="Heading1"/>
      </w:pPr>
      <w:r>
        <w:t xml:space="preserve">2. Rationale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C:\Program Files\RStudio\resources\app\bin\quarto\share\formats\docx\note.png" id="3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Complete sections 2.1 and 2.2 to clearly explain the context in which the assessment would be conducted, key information needs, and the intended impact of the assessment.</w:t>
            </w:r>
          </w:p>
          <w:p>
            <w:pPr>
              <w:numPr>
                <w:ilvl w:val="0"/>
                <w:numId w:val="1001"/>
              </w:numPr>
            </w:pPr>
            <w:r>
              <w:rPr>
                <w:b/>
                <w:bCs/>
              </w:rPr>
              <w:t xml:space="preserve">Background</w:t>
            </w:r>
            <w:r>
              <w:t xml:space="preserve"> </w:t>
            </w:r>
            <w:r>
              <w:t xml:space="preserve">This section should minimally include:</w:t>
            </w:r>
            <w:r>
              <w:t xml:space="preserve"> </w:t>
            </w:r>
            <w:r>
              <w:t xml:space="preserve">** What is the type of crisis and type of emergency setting the context for the assessment.</w:t>
            </w:r>
            <w:r>
              <w:t xml:space="preserve"> </w:t>
            </w:r>
            <w:r>
              <w:t xml:space="preserve">** For how long has the population been affected?</w:t>
            </w:r>
            <w:r>
              <w:t xml:space="preserve"> </w:t>
            </w:r>
            <w:r>
              <w:t xml:space="preserve">** What is the size of the different population groups in the affected area?</w:t>
            </w:r>
            <w:r>
              <w:t xml:space="preserve"> </w:t>
            </w:r>
            <w:r>
              <w:t xml:space="preserve">** What information is known about severity and service coverage? This may include most recent current and projected IPC classifications, JIAF severity, sectoral People in Need, or other prioritization frameworks. This may include information on current FSL, WASH, Health, or Nutrition service providers from HERAMS, 4Ws or other available sources.</w:t>
            </w:r>
            <w:r>
              <w:t xml:space="preserve"> </w:t>
            </w:r>
            <w:r>
              <w:t xml:space="preserve">** What information gaps on severity or service coverage are not known?</w:t>
            </w:r>
          </w:p>
          <w:p>
            <w:pPr>
              <w:numPr>
                <w:ilvl w:val="0"/>
                <w:numId w:val="1001"/>
              </w:numPr>
            </w:pPr>
            <w:r>
              <w:rPr>
                <w:b/>
                <w:bCs/>
              </w:rPr>
              <w:t xml:space="preserve">Intended Impact</w:t>
            </w:r>
            <w:r>
              <w:t xml:space="preserve"> </w:t>
            </w:r>
            <w:r>
              <w:t xml:space="preserve">This should minimally include:</w:t>
            </w:r>
            <w:r>
              <w:t xml:space="preserve"> </w:t>
            </w:r>
            <w:r>
              <w:t xml:space="preserve">** Describe what action IMPACT/REACH is taking and who the key stakeholders and decisions you will inform with the assessment.</w:t>
            </w:r>
          </w:p>
          <w:p>
            <w:pPr>
              <w:pStyle w:val="FirstParagraph"/>
            </w:pPr>
            <w:r>
              <w:rPr>
                <w:b/>
                <w:bCs/>
              </w:rPr>
              <w:t xml:space="preserve">Reviewer Note:</w:t>
            </w:r>
            <w:r>
              <w:t xml:space="preserve"> </w:t>
            </w:r>
            <w:r>
              <w:t xml:space="preserve">Please ensure the above minimum information is included in the text.</w:t>
            </w:r>
          </w:p>
          <w:p>
            <w:pPr>
              <w:pStyle w:val="BodyText"/>
            </w:pPr>
            <w:pPr>
              <w:spacing w:after="16"/>
            </w:pPr>
            <w:r>
              <w:rPr>
                <w:b/>
                <w:bCs/>
              </w:rPr>
              <w:t xml:space="preserve">DELETE THIS NOTE BEFORE SUBMITTING DOCUMENT</w:t>
            </w:r>
          </w:p>
        </w:tc>
      </w:tr>
    </w:tbl>
    <w:bookmarkStart w:id="39" w:name="background"/>
    <w:p>
      <w:pPr>
        <w:pStyle w:val="Heading2"/>
      </w:pPr>
      <w:r>
        <w:t xml:space="preserve">2.1 Background</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C:\Program Files\RStudio\resources\app\bin\quarto\share\formats\docx\tip.png" id="3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 Background</w:t>
            </w:r>
          </w:p>
        </w:tc>
      </w:tr>
      <w:tr>
        <w:trPr>
          <w:cantSplit/>
        </w:trPr>
        <w:tc>
          <w:tcPr>
            <w:tcMar>
              <w:top w:w="108" w:type="dxa"/>
              <w:bottom w:w="108" w:type="dxa"/>
            </w:tcMar>
          </w:tcPr>
          <w:p>
            <w:pPr>
              <w:pStyle w:val="BodyText"/>
            </w:pPr>
            <w:pPr>
              <w:spacing w:before="16"/>
            </w:pPr>
            <w:r>
              <w:rPr>
                <w:i/>
                <w:iCs/>
              </w:rPr>
              <w:t xml:space="preserve">Cabo Delgado Province in northern Mozambique continues to experience a protracted humanitarian crisis driven by non-state armed group violence, repeated population displacement, climatic shocks, and disruptions to basic service delivery. Mueda Town, located in Mueda District, serves as a key administrative and service hub for surrounding communities and hosts populations affected by both direct and indirect impacts of the conflict. As of August 2026, Mueda Town has a population of 170,000 as well as hosting around 45,000 IDPs according to IOM DTM data.</w:t>
            </w:r>
          </w:p>
          <w:p>
            <w:pPr>
              <w:pStyle w:val="BodyText"/>
            </w:pPr>
            <w:r>
              <w:rPr>
                <w:i/>
                <w:iCs/>
              </w:rPr>
              <w:t xml:space="preserve">The population in and around Mueda has been affected by the crisis since the escalation of insecurity in Cabo Delgado in 2017. While security conditions have improved in some areas, periodic incidents of violence and fear of renewed attacks continue to affect population movements, access to livelihoods, and access to essential services. The town hosts a mix of resident populations, returnees, and internally displaced persons (IDPs), creating additional pressure on existing infrastructure and services.</w:t>
            </w:r>
          </w:p>
          <w:p>
            <w:pPr>
              <w:pStyle w:val="BodyText"/>
            </w:pPr>
            <w:r>
              <w:rPr>
                <w:i/>
                <w:iCs/>
              </w:rPr>
              <w:t xml:space="preserve">The most recent IPC analysis from April 2025 indicated both host and IDP populations were facing IPC Phase 3</w:t>
            </w:r>
            <w:r>
              <w:rPr>
                <w:i/>
                <w:iCs/>
              </w:rPr>
              <w:t xml:space="preserve"> </w:t>
            </w:r>
            <w:r>
              <w:rPr>
                <w:i/>
                <w:iCs/>
              </w:rPr>
              <w:t xml:space="preserve">“Crisis”</w:t>
            </w:r>
            <w:r>
              <w:rPr>
                <w:i/>
                <w:iCs/>
              </w:rPr>
              <w:t xml:space="preserve"> </w:t>
            </w:r>
            <w:r>
              <w:rPr>
                <w:i/>
                <w:iCs/>
              </w:rPr>
              <w:t xml:space="preserve">conditions, and the Joint Intersectoral Analysis 2025 classified the population as Severity 4</w:t>
            </w:r>
            <w:r>
              <w:rPr>
                <w:i/>
                <w:iCs/>
              </w:rPr>
              <w:t xml:space="preserve"> </w:t>
            </w:r>
            <w:r>
              <w:rPr>
                <w:i/>
                <w:iCs/>
              </w:rPr>
              <w:t xml:space="preserve">“Critical”</w:t>
            </w:r>
            <w:r>
              <w:rPr>
                <w:i/>
                <w:iCs/>
              </w:rPr>
              <w:t xml:space="preserve"> </w:t>
            </w:r>
            <w:r>
              <w:rPr>
                <w:i/>
                <w:iCs/>
              </w:rPr>
              <w:t xml:space="preserve">due to compounded vulnerabilities of conflict and climate shocks. These analyses are outdated and updated information on the severity of needs and conditions are needed.</w:t>
            </w:r>
          </w:p>
          <w:p>
            <w:pPr>
              <w:pStyle w:val="BodyText"/>
            </w:pPr>
            <w:pPr>
              <w:spacing w:after="16"/>
            </w:pPr>
            <w:r>
              <w:rPr>
                <w:b/>
                <w:bCs/>
              </w:rPr>
              <w:t xml:space="preserve">DELETE THIS NOTE BEFORE SUBMITTING DOCUMENT</w:t>
            </w:r>
          </w:p>
        </w:tc>
      </w:tr>
    </w:tbl>
    <w:bookmarkEnd w:id="39"/>
    <w:bookmarkStart w:id="42" w:name="intended-impact"/>
    <w:p>
      <w:pPr>
        <w:pStyle w:val="Heading2"/>
      </w:pPr>
      <w:r>
        <w:t xml:space="preserve">2.2 Intended Impact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C:\Program Files\RStudio\resources\app\bin\quarto\share\formats\docx\tip.png" id="4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 Intended Impact</w:t>
            </w:r>
          </w:p>
        </w:tc>
      </w:tr>
      <w:tr>
        <w:trPr>
          <w:cantSplit/>
        </w:trPr>
        <w:tc>
          <w:tcPr>
            <w:tcMar>
              <w:top w:w="108" w:type="dxa"/>
              <w:bottom w:w="108" w:type="dxa"/>
            </w:tcMar>
          </w:tcPr>
          <w:p>
            <w:pPr>
              <w:pStyle w:val="BodyText"/>
            </w:pPr>
            <w:pPr>
              <w:spacing w:before="16"/>
            </w:pPr>
            <w:r>
              <w:rPr>
                <w:i/>
                <w:iCs/>
              </w:rPr>
              <w:t xml:space="preserve">In order to fill these information gaps, REACH will conduct an Integrated Public Health Rapid Assessment (IPHRA) in Mueda Town, Cabo Delgado Province, Mozambique, from (start date) to (end date). The assessment will generate timely evidence on humanitarian needs, health and market service accessibility, and public health conditions affecting conflict-affected populations. The assessment findings will be shared with key humanitarian stakeholders, including the Health Cluster, WASH Cluster, Nutrition Cluster, Food Security Cluster, Protection actors, relevant government authorities, UN agencies, NGOs, and operational partners active in Cabo Delgado Province.</w:t>
            </w:r>
          </w:p>
          <w:p>
            <w:pPr>
              <w:pStyle w:val="BodyText"/>
            </w:pPr>
            <w:pPr>
              <w:spacing w:after="16"/>
            </w:pPr>
            <w:r>
              <w:rPr>
                <w:b/>
                <w:bCs/>
              </w:rPr>
              <w:t xml:space="preserve">DELETE THIS NOTE BEFORE SUBMITTING DOCUMENT</w:t>
            </w:r>
          </w:p>
        </w:tc>
      </w:tr>
    </w:tbl>
    <w:p>
      <w:pPr>
        <w:pStyle w:val="Compact"/>
        <w:numPr>
          <w:ilvl w:val="0"/>
          <w:numId w:val="1002"/>
        </w:numPr>
      </w:pPr>
      <w:r>
        <w:t xml:space="preserve">Who are the key actors/ what are the key decision-making processes and milestones this research aims to inform?</w:t>
      </w:r>
    </w:p>
    <w:p>
      <w:pPr>
        <w:pStyle w:val="Compact"/>
        <w:numPr>
          <w:ilvl w:val="0"/>
          <w:numId w:val="1002"/>
        </w:numPr>
      </w:pPr>
      <w:r>
        <w:t xml:space="preserve">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r>
        <w:br w:type="page"/>
      </w:r>
    </w:p>
    <w:bookmarkEnd w:id="42"/>
    <w:bookmarkEnd w:id="43"/>
    <w:bookmarkStart w:id="48" w:name="goals-and-objectives"/>
    <w:p>
      <w:pPr>
        <w:pStyle w:val="Heading1"/>
      </w:pPr>
      <w:r>
        <w:t xml:space="preserve">3. Goals and Objectives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Program Files\RStudio\resources\app\bin\quarto\share\formats\docx\note.png" id="4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The primary goal for IPHRAs is standard and should not be changed. All IPHRAs should be focused on evaluating severity of the situation and identifying service gaps for affected populations. If the intention of the IPHRA is to inform an ANA analysis, then the secondary goal should be added as well.</w:t>
            </w:r>
          </w:p>
          <w:p>
            <w:pPr>
              <w:pStyle w:val="BodyText"/>
            </w:pPr>
            <w:r>
              <w:t xml:space="preserve">The specific research objectives and questions in section 3.1 are based on indicators present in selected tools. Please revise manually if any specific objectives, research questions, or indicators have been manually added to tools.</w:t>
            </w:r>
          </w:p>
          <w:p>
            <w:pPr>
              <w:pStyle w:val="BodyText"/>
            </w:pPr>
            <w:r>
              <w:rPr>
                <w:b/>
                <w:bCs/>
              </w:rPr>
              <w:t xml:space="preserve">Reviewer Note:</w:t>
            </w:r>
            <w:r>
              <w:t xml:space="preserve"> </w:t>
            </w:r>
            <w:r>
              <w:t xml:space="preserve">Please ensure the overall goals are aligned with standard IPHRA goals, and confirm whether the secondary goal is needed and included (to inform an ANA analysis)</w:t>
            </w:r>
          </w:p>
          <w:p>
            <w:pPr>
              <w:pStyle w:val="BodyText"/>
            </w:pPr>
            <w:pPr>
              <w:spacing w:after="16"/>
            </w:pPr>
            <w:r>
              <w:rPr>
                <w:b/>
                <w:bCs/>
              </w:rPr>
              <w:t xml:space="preserve">DELETE THIS NOTE BEFORE SUBMITTING DOCUMENT</w:t>
            </w:r>
          </w:p>
        </w:tc>
      </w:tr>
    </w:tbl>
    <w:p>
      <w:pPr>
        <w:pStyle w:val="BodyText"/>
      </w:pPr>
      <w:r>
        <w:rPr>
          <w:b/>
          <w:bCs/>
        </w:rPr>
        <w:t xml:space="preserve">Primary Goal:</w:t>
      </w:r>
      <w:r>
        <w:t xml:space="preserve"> </w:t>
      </w:r>
      <w:r>
        <w:t xml:space="preserve">To assess the severity of the public health outcomes and identify initial public health priorities for response to mitigate excess morbidity, malnutrition, and mortality.</w:t>
      </w:r>
    </w:p>
    <w:p>
      <w:pPr>
        <w:pStyle w:val="BodyText"/>
      </w:pPr>
      <w:r>
        <w:t xml:space="preserve">The below table summarizes the specific research objectives and questions for this assessment, based on the various pillars and sub-pillars of the ANA Framework.</w:t>
      </w:r>
    </w:p>
    <w:bookmarkStart w:id="47" w:name="X066adca003968c00da6447ebf13ef876c8c10ae"/>
    <w:p>
      <w:pPr>
        <w:pStyle w:val="Heading2"/>
      </w:pPr>
      <w:r>
        <w:t xml:space="preserve">3.1 Specific Objectives and Research Questions</w:t>
      </w:r>
    </w:p>
    <w:tbl>
      <w:tblPr>
        <w:tblStyle w:val="Table"/>
        <w:tblW w:type="pct" w:w="5000"/>
        <w:tblLayout w:type="fixed"/>
        <w:tblLook w:firstRow="0" w:lastRow="0" w:firstColumn="0" w:lastColumn="0" w:noHBand="0" w:noVBand="0" w:val="0000"/>
      </w:tblPr>
      <w:tblGrid>
        <w:gridCol w:w="7920"/>
      </w:tblGrid>
      <w:tr>
        <w:tc>
          <w:tcPr/>
          <w:bookmarkStart w:id="46" w:name="tbl-objectives_research_questions"/>
          <w:p>
            <w:pPr>
              <w:jc w:val="center"/>
            </w:pPr>
            <w:pPr>
              <w:jc w:val="start"/>
              <w:spacing w:before="200"/>
              <w:pStyle w:val="ImageCaption"/>
            </w:pPr>
            <w:r>
              <w:t xml:space="preserve">Table 1</w:t>
            </w:r>
          </w:p>
          <w:p>
            <w:pPr>
              <w:jc w:val="center"/>
            </w:pPr>
            <w:r>
              <w:rPr>
                <w:b/>
                <w:bCs/>
              </w:rPr>
              <w:t xml:space="preserve">Table 1. Specific objectives and research questions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3514"/>
              <w:gridCol w:w="3514"/>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Objective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Research.Question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level of mortality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health needs in the population?</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level of health needs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health needs in the population?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level of acute malnutrition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nutrition needs in the population?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FoodConsumption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quantity of individual 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food consumption gaps at the individual level in the population?</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Diversity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quality of individual 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food consumption gaps at the individual level in the population?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quantity of individual 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water consumption gaps at the individual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quality of individual water consumption at point of use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water consumption gaps at the individual level?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ExposureDisease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level and access to hygienic practices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risk of disease exposure and transmission?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HHFoodSecurity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quantity  and diversity of food consumption at the household level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food consumption gaps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the level and sources of food availability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degree is food available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identify the most important household level barriers to food access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to household food access?</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barriers and issues related to food utilization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to household food utilization?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quantity and quality of water consumed in households of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water consumption gaps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level and sources of water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degree is water available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barriers and issues related to water utilization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to household water utilization?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IncomeCoping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level and sources of household income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degree is income available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CopingCapacity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types of coping strategies available and used used to access basic goods and services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coping strategies household use when they cannot meet their basic needs or access services?</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LivingConditions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ProtectionElements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extent to which the target population has access to adequate shelter and items to protect against exposure to the environment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extent do households have the adequate shelter and other means to protect themselves from exposure to the weather and environment?</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coverage of preventive and therapeutic nutrition services for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coverage of nutrition services?</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coverage for the target population with preventive and/or treatment health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coverage of health services?</w:t>
                  </w:r>
                </w:p>
              </w:tc>
            </w:tr>
          </w:tbl>
          <w:bookmarkEnd w:id="46"/>
        </w:tc>
      </w:tr>
    </w:tbl>
    <w:p>
      <w:r>
        <w:br w:type="page"/>
      </w:r>
    </w:p>
    <w:bookmarkEnd w:id="47"/>
    <w:bookmarkEnd w:id="48"/>
    <w:bookmarkStart w:id="84" w:name="methodology"/>
    <w:p>
      <w:pPr>
        <w:pStyle w:val="Heading1"/>
      </w:pPr>
      <w:r>
        <w:t xml:space="preserve">4. Methodology</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Program Files\RStudio\resources\app\bin\quarto\share\formats\docx\note.png" id="5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The methodology section should be mostly pre-populated based on the user’s entry for sample size calculations, key indicators, and strata included. Some sections will need user input. Please check specifically that:</w:t>
            </w:r>
          </w:p>
          <w:p>
            <w:pPr>
              <w:pStyle w:val="Compact"/>
              <w:numPr>
                <w:ilvl w:val="0"/>
                <w:numId w:val="1003"/>
              </w:numPr>
            </w:pPr>
            <w:r>
              <w:t xml:space="preserve">For section 4.1, please ensure the methodology overview reflects the intended methods for all strata.</w:t>
            </w:r>
          </w:p>
          <w:p>
            <w:pPr>
              <w:pStyle w:val="Compact"/>
              <w:numPr>
                <w:ilvl w:val="0"/>
                <w:numId w:val="1003"/>
              </w:numPr>
            </w:pPr>
            <w:r>
              <w:t xml:space="preserve">For section 4.2, please ensure the population description follows recommendations from CE-DAT Completeness Checklist Guidelines</w:t>
            </w:r>
            <w:r>
              <w:t xml:space="preserve"> </w:t>
            </w:r>
            <w:r>
              <w:t xml:space="preserve">(1)</w:t>
            </w:r>
            <w:r>
              <w:t xml:space="preserve"> </w:t>
            </w:r>
            <w:r>
              <w:t xml:space="preserve">below:</w:t>
            </w:r>
          </w:p>
          <w:p>
            <w:pPr>
              <w:pStyle w:val="Compact"/>
              <w:numPr>
                <w:ilvl w:val="1"/>
                <w:numId w:val="1004"/>
              </w:numPr>
            </w:pPr>
            <w:r>
              <w:t xml:space="preserve">The type of population assessed (e.g. refugee, IDP, host, livelihood group, etc.)</w:t>
            </w:r>
          </w:p>
          <w:p>
            <w:pPr>
              <w:pStyle w:val="Compact"/>
              <w:numPr>
                <w:ilvl w:val="1"/>
                <w:numId w:val="1004"/>
              </w:numPr>
            </w:pPr>
            <w:r>
              <w:t xml:space="preserve">The geographic area assessed, with clearly defined bounds defining the sampling frame (e.g. the admin2 or group of camps being assessed)</w:t>
            </w:r>
          </w:p>
          <w:p>
            <w:pPr>
              <w:pStyle w:val="Compact"/>
              <w:numPr>
                <w:ilvl w:val="1"/>
                <w:numId w:val="1004"/>
              </w:numPr>
            </w:pPr>
            <w:r>
              <w:t xml:space="preserve">Any areas that are excluded from sampling and the reason that area was excluded (e.g. insecurity)</w:t>
            </w:r>
          </w:p>
          <w:p>
            <w:pPr>
              <w:pStyle w:val="Compact"/>
              <w:numPr>
                <w:ilvl w:val="1"/>
                <w:numId w:val="1004"/>
              </w:numPr>
            </w:pPr>
            <w:r>
              <w:t xml:space="preserve">Ideally a map could be included in this section, if capacity allows.</w:t>
            </w:r>
          </w:p>
          <w:p>
            <w:pPr>
              <w:pStyle w:val="Compact"/>
              <w:numPr>
                <w:ilvl w:val="0"/>
                <w:numId w:val="1003"/>
              </w:numPr>
            </w:pPr>
            <w:r>
              <w:t xml:space="preserve">For section 4.3, please ensure secondary objectives for the ANA framework are properly mapped and explained in the diagram and in the secondary data source stable.</w:t>
            </w:r>
          </w:p>
          <w:p>
            <w:pPr>
              <w:pStyle w:val="Compact"/>
              <w:numPr>
                <w:ilvl w:val="0"/>
                <w:numId w:val="1003"/>
              </w:numPr>
            </w:pPr>
            <w:r>
              <w:t xml:space="preserve">For section 4.4, please ensure key definitions are included for any key standardized indicators in the assessment. Please review that the household and population group (host, idp, refugee) definitions are included and contextualized for the setting.</w:t>
            </w:r>
          </w:p>
          <w:p>
            <w:pPr>
              <w:pStyle w:val="Compact"/>
              <w:numPr>
                <w:ilvl w:val="0"/>
                <w:numId w:val="1003"/>
              </w:numPr>
            </w:pPr>
            <w:r>
              <w:t xml:space="preserve">For section 4.5, please confirm:</w:t>
            </w:r>
          </w:p>
          <w:p>
            <w:pPr>
              <w:pStyle w:val="Compact"/>
              <w:numPr>
                <w:ilvl w:val="1"/>
                <w:numId w:val="1005"/>
              </w:numPr>
            </w:pPr>
            <w:r>
              <w:t xml:space="preserve">All intended tools and methods are included and how they have been contextualized for the setting per CE-DAT Completeness Checklist Guidelines</w:t>
            </w:r>
            <w:r>
              <w:t xml:space="preserve"> </w:t>
            </w:r>
            <w:r>
              <w:t xml:space="preserve">(1)</w:t>
            </w:r>
            <w:r>
              <w:t xml:space="preserve">, specifically:</w:t>
            </w:r>
          </w:p>
          <w:p>
            <w:pPr>
              <w:pStyle w:val="Compact"/>
              <w:numPr>
                <w:ilvl w:val="2"/>
                <w:numId w:val="1006"/>
              </w:numPr>
            </w:pPr>
            <w:r>
              <w:t xml:space="preserve">What languages was the tool translated to?</w:t>
            </w:r>
          </w:p>
          <w:p>
            <w:pPr>
              <w:pStyle w:val="Compact"/>
              <w:numPr>
                <w:ilvl w:val="2"/>
                <w:numId w:val="1006"/>
              </w:numPr>
            </w:pPr>
            <w:r>
              <w:t xml:space="preserve">Was the tool tested or piloted?</w:t>
            </w:r>
          </w:p>
          <w:p>
            <w:pPr>
              <w:pStyle w:val="Compact"/>
              <w:numPr>
                <w:ilvl w:val="1"/>
                <w:numId w:val="1005"/>
              </w:numPr>
            </w:pPr>
            <w:r>
              <w:t xml:space="preserve">Sample size and planning calculations have appropriate sources and justifications included, and match intended methods.</w:t>
            </w:r>
            <w:r>
              <w:br/>
            </w:r>
          </w:p>
          <w:p>
            <w:pPr>
              <w:pStyle w:val="Compact"/>
              <w:numPr>
                <w:ilvl w:val="0"/>
                <w:numId w:val="1003"/>
              </w:numPr>
            </w:pPr>
            <w:r>
              <w:t xml:space="preserve">For section 4.6, that planned analysis matches your intended outputs, such as in terms of stratification of results.</w:t>
            </w:r>
          </w:p>
          <w:p>
            <w:pPr>
              <w:pStyle w:val="Compact"/>
              <w:numPr>
                <w:ilvl w:val="0"/>
                <w:numId w:val="1003"/>
              </w:numPr>
            </w:pPr>
            <w:r>
              <w:t xml:space="preserve">For section 4.7, please ensure to include any context specific limitations, such as access constraints or timing</w:t>
            </w:r>
          </w:p>
          <w:p>
            <w:pPr>
              <w:pStyle w:val="FirstParagraph"/>
            </w:pPr>
            <w:r>
              <w:rPr>
                <w:b/>
                <w:bCs/>
              </w:rPr>
              <w:t xml:space="preserve">Reviewer Note:</w:t>
            </w:r>
            <w:r>
              <w:t xml:space="preserve"> </w:t>
            </w:r>
            <w:r>
              <w:t xml:space="preserve">Please ensure the above criteria are included in the appropriate sections.</w:t>
            </w:r>
          </w:p>
          <w:p>
            <w:pPr>
              <w:pStyle w:val="BodyText"/>
            </w:pPr>
            <w:pPr>
              <w:spacing w:after="16"/>
            </w:pPr>
            <w:r>
              <w:rPr>
                <w:b/>
                <w:bCs/>
              </w:rPr>
              <w:t xml:space="preserve">DELETE THIS NOTE BEFORE SUBMITTING DOCUMENT</w:t>
            </w:r>
          </w:p>
        </w:tc>
      </w:tr>
    </w:tbl>
    <w:p>
      <w:pPr>
        <w:pStyle w:val="BodyText"/>
      </w:pPr>
      <w:r>
        <w:t xml:space="preserve">The general research design for the Integrated Public Health Rapid Assessment (IPHRA)</w:t>
      </w:r>
      <w:r>
        <w:t xml:space="preserve"> </w:t>
      </w:r>
      <w:r>
        <w:t xml:space="preserve">(2)</w:t>
      </w:r>
      <w:r>
        <w:t xml:space="preserve"> </w:t>
      </w:r>
      <w:r>
        <w:t xml:space="preserve">will consist of a mixed-methods approach constituting three main methods: household surveys; Key Informant Interviews (KIIs); and observation checklists, each of these methods having core and supplemental specialized tools and information that can be collected.</w:t>
      </w:r>
    </w:p>
    <w:bookmarkStart w:id="51" w:name="methodology-overview"/>
    <w:p>
      <w:pPr>
        <w:pStyle w:val="Heading2"/>
      </w:pPr>
      <w:r>
        <w:t xml:space="preserve">4.1 Methodology Overview</w:t>
      </w:r>
    </w:p>
    <w:p>
      <w:pPr>
        <w:pStyle w:val="FirstParagraph"/>
      </w:pPr>
      <w:r>
        <w:t xml:space="preserve">The household survey component will consist of a two-stage approach sampling strategy with sites selected in the first stage using simple random sampling from a list of accessible sites and households selected in the second stage using appropriate sampling techniques such as simple random sampling from community listing or maps of households. Sites will have equal probability of selection due to a lack of reliable population data. The household sample will be equally distributed between sampled sites. Either a single stratum will be identified representing the target population, or if comparison between multiple groups is necessary than multiple strata will be selected. Within each stratum, a minimum of six sites will be either randomly or purposefully selected for assessment. Results are intended to provide localized results which are not generalizable beyond the assessed population.</w:t>
      </w:r>
    </w:p>
    <w:bookmarkEnd w:id="51"/>
    <w:bookmarkStart w:id="54" w:name="population-of-interest"/>
    <w:p>
      <w:pPr>
        <w:pStyle w:val="Heading2"/>
      </w:pPr>
      <w:r>
        <w:t xml:space="preserve">4.2 Population of Interest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Program Files\RStudio\resources\app\bin\quarto\share\formats\docx\tip.png" id="5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 Population of interest</w:t>
            </w:r>
          </w:p>
        </w:tc>
      </w:tr>
      <w:tr>
        <w:trPr>
          <w:cantSplit/>
        </w:trPr>
        <w:tc>
          <w:tcPr>
            <w:tcMar>
              <w:top w:w="108" w:type="dxa"/>
              <w:bottom w:w="108" w:type="dxa"/>
            </w:tcMar>
          </w:tcPr>
          <w:p>
            <w:pPr>
              <w:pStyle w:val="BodyText"/>
            </w:pPr>
            <w:pPr>
              <w:spacing w:before="16"/>
            </w:pPr>
            <w:r>
              <w:rPr>
                <w:i/>
                <w:iCs/>
              </w:rPr>
              <w:t xml:space="preserve">The population of interest comprises all households residing within the administrative boundaries of Mueda Town, Mueda District, Cabo Delgado Province, including host community households, internally displaced persons (IDPs), returnees, and other conflict-affected populations. The sampling frame includes all accessible residential areas within the town boundaries. Rural areas outside Mueda Town are excluded from the assessment scope, as the assessment is designed to generate findings specific to the urban population of Mueda Town. Any additional areas rendered inaccessible due to insecurity or operational constraints will be excluded from sampling and clearly documented in assessment outputs. A map of the assessment area will be included where feasible to illustrate the geographic coverage of the assessment.</w:t>
            </w:r>
          </w:p>
          <w:p>
            <w:pPr>
              <w:pStyle w:val="BodyText"/>
            </w:pPr>
            <w:pPr>
              <w:spacing w:after="16"/>
            </w:pPr>
            <w:r>
              <w:rPr>
                <w:b/>
                <w:bCs/>
              </w:rPr>
              <w:t xml:space="preserve">DELETE THIS NOTE BEFORE SUBMITTING TO REPOSITORY</w:t>
            </w:r>
          </w:p>
        </w:tc>
      </w:tr>
    </w:tbl>
    <w:p>
      <w:pPr>
        <w:pStyle w:val="BodyText"/>
      </w:pPr>
      <w:r>
        <w:t xml:space="preserve">The geographic coverage of the assessment includes: The geographic bounds of Muedo Town in Cabo Delgado, Mozambique.. The total population consists of 10000 people with approximately 8000 people included in the survey and approximately 2000 people excluded from the survey.The population will be stratified into the following strata with the following total population per stratum: stratum 1: 4000, stratum 2: 4000.</w:t>
      </w:r>
    </w:p>
    <w:p>
      <w:r>
        <w:br w:type="page"/>
      </w:r>
    </w:p>
    <w:bookmarkEnd w:id="54"/>
    <w:bookmarkStart w:id="60" w:name="secondary-data-review"/>
    <w:p>
      <w:pPr>
        <w:pStyle w:val="Heading2"/>
      </w:pPr>
      <w:r>
        <w:t xml:space="preserve">4.3 Secondary Data Review</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Program Files\RStudio\resources\app\bin\quarto\share\formats\docx\tip.png" id="5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Information gap analysis</w:t>
            </w:r>
          </w:p>
        </w:tc>
      </w:tr>
      <w:tr>
        <w:trPr>
          <w:cantSplit/>
        </w:trPr>
        <w:tc>
          <w:tcPr>
            <w:tcMar>
              <w:top w:w="108" w:type="dxa"/>
              <w:bottom w:w="108" w:type="dxa"/>
            </w:tcMar>
          </w:tcPr>
          <w:p>
            <w:pPr>
              <w:pStyle w:val="BodyText"/>
            </w:pPr>
            <w:pPr>
              <w:spacing w:before="16"/>
            </w:pPr>
            <w:r>
              <w:t xml:space="preserve">Integrated public health assessments recognize that excess morbidity, malnutrition, and mortality are driven by a number of factors across multiple sectors including Food Security and Livelihoods, WASH, Health, Nutrition, and more. In order to ensure a holistic and comprehensive understanding of public health priorities in the population, it’s important to capture a variety of information across these sectors at different levels (individual, household, community).</w:t>
            </w:r>
          </w:p>
          <w:p>
            <w:pPr>
              <w:pStyle w:val="BodyText"/>
            </w:pPr>
            <w:r>
              <w:t xml:space="preserve">It is recommended to first map out available secondary data sources that match these dimensions and identify what information gaps exist, then plan the primary objectives of your assessment based on what information is still needed. This will ensure we do not collect unnecessary information in the IPHRA, and can keep the tools lighter and easier to implement.</w:t>
            </w:r>
          </w:p>
          <w:p>
            <w:pPr>
              <w:pStyle w:val="BodyText"/>
            </w:pPr>
            <w:pPr>
              <w:spacing w:after="16"/>
            </w:pPr>
            <w:r>
              <w:rPr>
                <w:b/>
                <w:bCs/>
              </w:rPr>
              <w:t xml:space="preserve">DELETE THIS NOTE BEFORE SUBMITTING TO REPOSITORY</w:t>
            </w:r>
          </w:p>
        </w:tc>
      </w:tr>
    </w:tbl>
    <w:p>
      <w:pPr>
        <w:pStyle w:val="BodyText"/>
      </w:pPr>
      <w:r>
        <w:t xml:space="preserve">The main assessment design is based off guidance documents and tools for Integrated Public Health Rapid Assessment (IPHRA), available on the IMPACT Intranet (soon, link to intranet). Secondly, the IPHRA toolkit is designed to align with the Acute Needs Framework (ANF) utilized by IMPACT Initiatives in their Acute Needs Analysis workstreams</w:t>
      </w:r>
      <w:r>
        <w:t xml:space="preserve"> </w:t>
      </w:r>
      <w:r>
        <w:t xml:space="preserve">(3)</w:t>
      </w:r>
      <w:r>
        <w:t xml:space="preserve">. The intention of the Secondary Data Review step is to identify existing data sources for various ANF Pillars and Sub-Pillars, and to identify data gaps which will inform the design of the primary data collection component of the IPHRA. The below figure illustrates the ANF framework and how it maps against the planned primary data collection, as well as secondary data sources planned to be utilized for this assessment.</w:t>
      </w:r>
    </w:p>
    <w:p>
      <w:pPr>
        <w:pStyle w:val="BodyText"/>
      </w:pPr>
      <w:r>
        <w:rPr>
          <w:b/>
          <w:bCs/>
        </w:rPr>
        <w:t xml:space="preserve">Figure 1. Acute Needs Framework (ANF) and Data Collection Mapping</w:t>
      </w:r>
      <w:r>
        <w:t xml:space="preserve"> </w:t>
      </w:r>
      <w:r>
        <w:drawing>
          <wp:inline>
            <wp:extent cx="6210300" cy="6210300"/>
            <wp:effectExtent b="0" l="0" r="0" t="0"/>
            <wp:docPr descr="" title="" id="58" name="Picture"/>
            <a:graphic>
              <a:graphicData uri="http://schemas.openxmlformats.org/drawingml/2006/picture">
                <pic:pic>
                  <pic:nvPicPr>
                    <pic:cNvPr descr="quarto_doc_revised_template_files/figure-docx/revised_svg-1.png" id="59" name="Picture"/>
                    <pic:cNvPicPr>
                      <a:picLocks noChangeArrowheads="1" noChangeAspect="1"/>
                    </pic:cNvPicPr>
                  </pic:nvPicPr>
                  <pic:blipFill>
                    <a:blip r:embed="rId57"/>
                    <a:stretch>
                      <a:fillRect/>
                    </a:stretch>
                  </pic:blipFill>
                  <pic:spPr bwMode="auto">
                    <a:xfrm>
                      <a:off x="0" y="0"/>
                      <a:ext cx="6210300" cy="6210300"/>
                    </a:xfrm>
                    <a:prstGeom prst="rect">
                      <a:avLst/>
                    </a:prstGeom>
                    <a:noFill/>
                    <a:ln w="9525">
                      <a:noFill/>
                      <a:headEnd/>
                      <a:tailEnd/>
                    </a:ln>
                  </pic:spPr>
                </pic:pic>
              </a:graphicData>
            </a:graphic>
          </wp:inline>
        </w:drawing>
      </w:r>
    </w:p>
    <w:p>
      <w:pPr>
        <w:pStyle w:val="BodyText"/>
      </w:pPr>
      <w:r>
        <w:t xml:space="preserve">The below table cites relevant secondary data sources for each of the ANF Pillars and Sub-Pillars, as well as the purpose for which each data source will be utilized in the assessment.</w:t>
      </w:r>
    </w:p>
    <w:p>
      <w:pPr>
        <w:pStyle w:val="BodyText"/>
      </w:pPr>
      <w:r>
        <w:rPr>
          <w:b/>
          <w:bCs/>
        </w:rPr>
        <w:t xml:space="preserve">Table 2. Secondary Data Sources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6"/>
        <w:gridCol w:w="2592"/>
        <w:gridCol w:w="3456"/>
      </w:tblGrid>
      <w:tr>
        <w:trPr>
          <w:trHeight w:val="360" w:hRule="auto"/>
          <w:tblHeader/>
        </w:trPr>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Objective</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Source</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Purpose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 understand the level of availability of WASH services at the community level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WASH Cluster 5Ws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Partner presence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 identify the most important community level barriers to water access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MSNA 2026</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access barriers</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 understand the availability of preventative and therapeutic nutrition services at health and nutrition facilities (presence, staff, supply, equipment)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SQUEAC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CMAM coverage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 understand the main access barriers related to preventive and therapeutic nutrition services for the target population (physical, financial, social)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SQUEAC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Enablers and barriers</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 understand the availability of health services at health facilities (presence, staff, supply, equipment,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HERAMS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services are or are not available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 understand the main access barriers related to health services for the target population (physical, financial, social)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MSNA 2026</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barriers to popuation</w:t>
            </w:r>
          </w:p>
        </w:tc>
      </w:tr>
    </w:tbl>
    <w:bookmarkEnd w:id="60"/>
    <w:bookmarkStart w:id="63" w:name="key-definitions"/>
    <w:p>
      <w:pPr>
        <w:pStyle w:val="Heading2"/>
      </w:pPr>
      <w:r>
        <w:t xml:space="preserve">4.4 Key Definitions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C:\Program Files\RStudio\resources\app\bin\quarto\share\formats\docx\tip.png" id="6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Contextualizing key definitions</w:t>
            </w:r>
          </w:p>
        </w:tc>
      </w:tr>
      <w:tr>
        <w:trPr>
          <w:cantSplit/>
        </w:trPr>
        <w:tc>
          <w:tcPr>
            <w:tcMar>
              <w:top w:w="108" w:type="dxa"/>
              <w:bottom w:w="108" w:type="dxa"/>
            </w:tcMar>
          </w:tcPr>
          <w:p>
            <w:pPr>
              <w:pStyle w:val="BodyText"/>
            </w:pPr>
            <w:pPr>
              <w:spacing w:before="16"/>
            </w:pPr>
            <w:r>
              <w:t xml:space="preserve">Some key definitions may be context dependent, and should be included in this section. In particular, assessment lead should confirm that the household definition and the definition of any population groups should be included as appropriate for the context. Some indicator definitions may also be contextualized based on standards set by clusters or national authorities, for instance what is or is not an improved water source. Standardized indicator definitions should be included but do not need to be contextualized.</w:t>
            </w:r>
          </w:p>
          <w:p>
            <w:pPr>
              <w:pStyle w:val="BodyText"/>
            </w:pPr>
            <w:pPr>
              <w:spacing w:after="16"/>
            </w:pPr>
            <w:r>
              <w:rPr>
                <w:b/>
                <w:bCs/>
              </w:rPr>
              <w:t xml:space="preserve">DELETE THIS NOTE BEFORE SUBMITTING TO REPOSITORY</w:t>
            </w:r>
          </w:p>
        </w:tc>
      </w:tr>
    </w:tbl>
    <w:p>
      <w:pPr>
        <w:pStyle w:val="BodyText"/>
      </w:pPr>
      <w:r>
        <w:t xml:space="preserve">Within this population, specific indicators will target sub-populations. All eligible sub-populations within sampled households will be included in the survey. Sub-populations for indicators include:</w:t>
      </w:r>
    </w:p>
    <w:p>
      <w:pPr>
        <w:pStyle w:val="Compact"/>
        <w:numPr>
          <w:ilvl w:val="0"/>
          <w:numId w:val="1007"/>
        </w:numPr>
      </w:pPr>
      <w:r>
        <w:rPr>
          <w:b/>
          <w:bCs/>
        </w:rPr>
        <w:t xml:space="preserve">Household Definition:</w:t>
      </w:r>
      <w:r>
        <w:t xml:space="preserve"> </w:t>
      </w:r>
      <w:r>
        <w:t xml:space="preserve">A group of people who ate from the same cooking and slept under the same roof the previous night</w:t>
      </w:r>
    </w:p>
    <w:p>
      <w:pPr>
        <w:pStyle w:val="Compact"/>
        <w:numPr>
          <w:ilvl w:val="0"/>
          <w:numId w:val="1007"/>
        </w:numPr>
      </w:pPr>
      <w:r>
        <w:rPr>
          <w:b/>
          <w:bCs/>
        </w:rPr>
        <w:t xml:space="preserve">Global Acute Malnutrition (GAM) by MUAC:</w:t>
      </w:r>
      <w:r>
        <w:t xml:space="preserve"> </w:t>
      </w:r>
      <w:r>
        <w:t xml:space="preserve">is the prevalence of acute malnutrition, or wasting, among children 6-59 months of age, measured through oedema, or by measuring the middle-upper arm circumference (MUAC). For this assessment, all children 6-59 months in sampled households will be eligible.</w:t>
      </w:r>
    </w:p>
    <w:p>
      <w:pPr>
        <w:pStyle w:val="Compact"/>
        <w:numPr>
          <w:ilvl w:val="0"/>
          <w:numId w:val="1007"/>
        </w:numPr>
      </w:pPr>
      <w:r>
        <w:rPr>
          <w:b/>
          <w:bCs/>
        </w:rPr>
        <w:t xml:space="preserve">GAM among women of reproductive age (15-49 years):</w:t>
      </w:r>
      <w:r>
        <w:t xml:space="preserve"> </w:t>
      </w:r>
      <w:r>
        <w:t xml:space="preserve">is acute malnutrition among women of reproductive age, measured through the middle-upper arm circumference (MUAC). Acute malnutrition is diagnosed if the MUAC is below 230 millimetres. For this assessment, all women between the ages of 15-49 in sampled households will be eligible for inclusion.</w:t>
      </w:r>
    </w:p>
    <w:p>
      <w:pPr>
        <w:pStyle w:val="Compact"/>
        <w:numPr>
          <w:ilvl w:val="0"/>
          <w:numId w:val="1007"/>
        </w:numPr>
      </w:pPr>
      <w:r>
        <w:rPr>
          <w:b/>
          <w:bCs/>
        </w:rPr>
        <w:t xml:space="preserve">Mortality Rate:</w:t>
      </w:r>
      <w:r>
        <w:t xml:space="preserve"> </w:t>
      </w:r>
      <w:r>
        <w:t xml:space="preserve">An incidence rate of deaths, that includes all deaths regardless of cause, age, or sex. It is measured for a given population for a specified recall period. This should include deaths both in the community and facility-based deaths. During humanitarian emergencies it is usually reported as deaths per 10,000 per day but can also be reported as deaths per 1000 per month or per person-time. Crude Mortality Rade (CMR) and Crude Death Rate (CDR) are interchangeable. All persons in sampled households will be eligible for inclusion. For children under-5 years of age, the under-5 mortality rate (U5MR) will also be calculated. The U5MR is the incidence rate of deaths among children under 5 years of age per 10,000 per day. For this assessment, all children under 5 years of age in sampled households will be eligible for inclusion.</w:t>
      </w:r>
    </w:p>
    <w:p>
      <w:pPr>
        <w:pStyle w:val="Compact"/>
        <w:numPr>
          <w:ilvl w:val="0"/>
          <w:numId w:val="1007"/>
        </w:numPr>
      </w:pPr>
      <w:r>
        <w:rPr>
          <w:b/>
          <w:bCs/>
        </w:rPr>
        <w:t xml:space="preserve">Measles vaccination coverage:</w:t>
      </w:r>
      <w:r>
        <w:t xml:space="preserve"> </w:t>
      </w:r>
      <w:r>
        <w:t xml:space="preserve">is the proportion of children aged 9-59 months who have received at least one dose of measles-containing vaccine reported by the caregiver or confirmed by vaccination card. For this assessment, all children 9-59 months in sampled households will be eligible for inclusion.</w:t>
      </w:r>
    </w:p>
    <w:p>
      <w:pPr>
        <w:pStyle w:val="Compact"/>
        <w:numPr>
          <w:ilvl w:val="0"/>
          <w:numId w:val="1007"/>
        </w:numPr>
      </w:pPr>
      <w:r>
        <w:rPr>
          <w:b/>
          <w:bCs/>
        </w:rPr>
        <w:t xml:space="preserve">Vitamin A supplementation coverage:</w:t>
      </w:r>
      <w:r>
        <w:t xml:space="preserve"> </w:t>
      </w:r>
      <w:r>
        <w:t xml:space="preserve">is the proportion of children aged 6-59 months who have received at least one dose of vitamin A supplementation in the past six months reported by the caregiver or confirmed by card. For this assessment, all children 6-59 months in sampled households will be eligible for inclusion.</w:t>
      </w:r>
    </w:p>
    <w:p>
      <w:pPr>
        <w:pStyle w:val="Compact"/>
        <w:numPr>
          <w:ilvl w:val="0"/>
          <w:numId w:val="1007"/>
        </w:numPr>
      </w:pPr>
      <w:r>
        <w:rPr>
          <w:b/>
          <w:bCs/>
        </w:rPr>
        <w:t xml:space="preserve">Early Childhood Food Insecurity Experience Scale (ECFIES):</w:t>
      </w:r>
      <w:r>
        <w:t xml:space="preserve"> </w:t>
      </w:r>
      <w:r>
        <w:t xml:space="preserve">is a measure of the prevalence of food insecurity among children under 5 years of age based on the Food Insecurity Experience Scale (FIES) adapted for early childhood. It is measured through a set of questions asked to the caregiver about their child’s experience with food insecurity in the past 30 days. For this assessment, all children 6-59 months in sampled households will be eligible for inclusion.</w:t>
      </w:r>
    </w:p>
    <w:p>
      <w:pPr>
        <w:pStyle w:val="Compact"/>
        <w:numPr>
          <w:ilvl w:val="0"/>
          <w:numId w:val="1007"/>
        </w:numPr>
      </w:pPr>
      <w:r>
        <w:rPr>
          <w:b/>
          <w:bCs/>
        </w:rPr>
        <w:t xml:space="preserve">Household Hunger Scale (HHS):</w:t>
      </w:r>
      <w:r>
        <w:t xml:space="preserve"> </w:t>
      </w:r>
      <w:r>
        <w:t xml:space="preserve">is a measure of the level of hunger among households based on a set of questions about the household’s experience with hunger in the past 30 days. It categorizes households into three levels of hunger: None, Little, Moderate, Severe, and Very Severe per IPC thresholds. For this assessment, all sampled households will be eligible for inclusion.</w:t>
      </w:r>
    </w:p>
    <w:p>
      <w:pPr>
        <w:pStyle w:val="Compact"/>
        <w:numPr>
          <w:ilvl w:val="0"/>
          <w:numId w:val="1007"/>
        </w:numPr>
      </w:pPr>
      <w:r>
        <w:rPr>
          <w:b/>
          <w:bCs/>
        </w:rPr>
        <w:t xml:space="preserve">Livelihood Coping Strategy Index (LCSI):</w:t>
      </w:r>
      <w:r>
        <w:t xml:space="preserve"> </w:t>
      </w:r>
      <w:r>
        <w:t xml:space="preserve">is a measure of the frequency and severity of coping strategies employed by households in response to livelihood stress. It is calculated based on the frequency of use of different coping strategies and their assigned weights. For this assessment, all sampled households will be eligible for inclusion.</w:t>
      </w:r>
    </w:p>
    <w:p>
      <w:pPr>
        <w:pStyle w:val="Compact"/>
        <w:numPr>
          <w:ilvl w:val="0"/>
          <w:numId w:val="1007"/>
        </w:numPr>
      </w:pPr>
      <w:r>
        <w:rPr>
          <w:b/>
          <w:bCs/>
        </w:rPr>
        <w:t xml:space="preserve">Household Water Insecurity Experience Scale (HWISE):</w:t>
      </w:r>
      <w:r>
        <w:t xml:space="preserve"> </w:t>
      </w:r>
      <w:r>
        <w:t xml:space="preserve">is a measure of the prevalence of water insecurity among households based on the Household Water Insecurity Experience Scale (HWISE). It is measured through a set of questions asked to the household about their experience with water insecurity in the past 30 days. For this assessment, all sampled households will be eligible for inclusion.</w:t>
      </w:r>
    </w:p>
    <w:p>
      <w:pPr>
        <w:pStyle w:val="Compact"/>
        <w:numPr>
          <w:ilvl w:val="0"/>
          <w:numId w:val="1007"/>
        </w:numPr>
      </w:pPr>
      <w:r>
        <w:rPr>
          <w:b/>
          <w:bCs/>
        </w:rPr>
        <w:t xml:space="preserve">Liters per person per day:</w:t>
      </w:r>
      <w:r>
        <w:t xml:space="preserve"> </w:t>
      </w:r>
      <w:r>
        <w:t xml:space="preserve">is a measure of the quantity of water available to each household member per day. It is calculated based on the total amount of water consumed by the household in the past 24 hours divided by the number of household members. For this assessment, all sampled households will be eligible for inclusion.</w:t>
      </w:r>
    </w:p>
    <w:p>
      <w:r>
        <w:br w:type="page"/>
      </w:r>
    </w:p>
    <w:bookmarkEnd w:id="63"/>
    <w:bookmarkStart w:id="76" w:name="primary-data-collection"/>
    <w:p>
      <w:pPr>
        <w:pStyle w:val="Heading2"/>
      </w:pPr>
      <w:r>
        <w:t xml:space="preserve">4.5 Primary Data Collection</w:t>
      </w:r>
    </w:p>
    <w:bookmarkStart w:id="72" w:name="household-surveys"/>
    <w:p>
      <w:pPr>
        <w:pStyle w:val="Heading3"/>
      </w:pPr>
      <w:r>
        <w:t xml:space="preserve">4.5.1 Household Surveys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Program Files\RStudio\resources\app\bin\quarto\share\formats\docx\tip.png" id="6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Tool description</w:t>
            </w:r>
          </w:p>
        </w:tc>
      </w:tr>
      <w:tr>
        <w:trPr>
          <w:cantSplit/>
        </w:trPr>
        <w:tc>
          <w:tcPr>
            <w:tcMar>
              <w:top w:w="108" w:type="dxa"/>
              <w:bottom w:w="108" w:type="dxa"/>
            </w:tcMar>
          </w:tcPr>
          <w:p>
            <w:pPr>
              <w:pStyle w:val="BodyText"/>
            </w:pPr>
            <w:pPr>
              <w:spacing w:before="16"/>
            </w:pPr>
            <w:r>
              <w:t xml:space="preserve">The indicators included in the household tool should be automatically added to the table below. In the description above this table in section 4.5.1, please describe any steps done to contextualize or test the data collection tools as per CE-DAT Completeness Checklist Guidelines</w:t>
            </w:r>
            <w:r>
              <w:t xml:space="preserve"> </w:t>
            </w:r>
            <w:r>
              <w:t xml:space="preserve">(1)</w:t>
            </w:r>
            <w:r>
              <w:t xml:space="preserve"> </w:t>
            </w:r>
            <w:r>
              <w:t xml:space="preserve">below:</w:t>
            </w:r>
          </w:p>
          <w:p>
            <w:pPr>
              <w:pStyle w:val="Compact"/>
              <w:numPr>
                <w:ilvl w:val="0"/>
                <w:numId w:val="1008"/>
              </w:numPr>
            </w:pPr>
            <w:r>
              <w:t xml:space="preserve">What languages was the tool translated to?</w:t>
            </w:r>
          </w:p>
          <w:p>
            <w:pPr>
              <w:pStyle w:val="Compact"/>
              <w:numPr>
                <w:ilvl w:val="0"/>
                <w:numId w:val="1008"/>
              </w:numPr>
            </w:pPr>
            <w:r>
              <w:t xml:space="preserve">Was the tool tested or piloted?</w:t>
            </w:r>
          </w:p>
          <w:p>
            <w:pPr>
              <w:pStyle w:val="FirstParagraph"/>
            </w:pPr>
            <w:pPr>
              <w:spacing w:after="16"/>
            </w:pPr>
            <w:r>
              <w:rPr>
                <w:b/>
                <w:bCs/>
              </w:rPr>
              <w:t xml:space="preserve">DELETE THIS NOTE BEFORE SUBMITTING DOCUMENT</w:t>
            </w:r>
          </w:p>
        </w:tc>
      </w:tr>
    </w:tbl>
    <w:p>
      <w:pPr>
        <w:pStyle w:val="BodyText"/>
      </w:pPr>
      <w:r>
        <w:t xml:space="preserve">There are several core and supplemental indicators within the household tool of the IPHRA toolkit. Pre-prepared tool versions are used for selected indicators. Prior to implementation, the following steps to contextualize tools were implemented…</w:t>
      </w:r>
    </w:p>
    <w:p>
      <w:pPr>
        <w:pStyle w:val="BodyText"/>
      </w:pPr>
      <w:r>
        <w:t xml:space="preserve">For the objectives of this assessment the following are planned:</w:t>
      </w:r>
    </w:p>
    <w:p>
      <w:pPr>
        <w:pStyle w:val="BodyText"/>
      </w:pPr>
      <w:r>
        <w:rPr>
          <w:b/>
          <w:bCs/>
        </w:rPr>
        <w:t xml:space="preserve">Table 3. Pillars, Sub-Pillars and Indicators in the Household Survey Tool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83"/>
        <w:gridCol w:w="1601"/>
        <w:gridCol w:w="8039"/>
      </w:tblGrid>
      <w:tr>
        <w:trPr>
          <w:trHeight w:val="353"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Indicator</w:t>
            </w:r>
          </w:p>
        </w:tc>
      </w:tr>
      <w:tr>
        <w:trPr>
          <w:trHeight w:val="343"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ExposureDisease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Soap Ownership (%)</w:t>
            </w:r>
          </w:p>
        </w:tc>
      </w:tr>
      <w:tr>
        <w:trPr>
          <w:trHeight w:val="353"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FoodConsumption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Diversity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Children Under-2 by Early Childhood Food Insecurity Experience Scale (EC-FIESE)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Children Under-2 by Main Food Groups Consumed the Previous Day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Children Under-2 by Early Childhood Food Insecurity Experience Scale (EC-FIESE)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Children Under-2 by Main Food Groups Consumed the Previous Day (%)</w:t>
            </w:r>
          </w:p>
        </w:tc>
      </w:tr>
      <w:tr>
        <w:trPr>
          <w:trHeight w:val="353"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HHFoodSecurity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Barriers to Food Access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Children Under-2 by Caregiver Reported Barriers to Breastfeeding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Children Under-2 by Caregiver Reported Barriers to Complementary Feeding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Main Sources of Food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Household Hunger Scale (HHS)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Household Dietary Diversity Score (HDDS)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Water Source for Food Preparation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Cooking Issues in the Shelter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Issues for Storing Food and Water (%)</w:t>
            </w:r>
          </w:p>
        </w:tc>
      </w:tr>
      <w:tr>
        <w:trPr>
          <w:trHeight w:val="353"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HealthServices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of population with foregone health care needs</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individuals 5 years or older ever received oral cholera vaccination</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children 6-59 months ever received measles vaccination</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children 6-59 months received Vitamin A supplementation in the previous 6 months</w:t>
            </w:r>
          </w:p>
        </w:tc>
      </w:tr>
      <w:tr>
        <w:trPr>
          <w:trHeight w:val="353"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population with health needs in the previous two weeks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Crude Mortality Rate (deaths per 10,000 per day)</w:t>
            </w:r>
          </w:p>
        </w:tc>
      </w:tr>
      <w:tr>
        <w:trPr>
          <w:trHeight w:val="353"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IncomeCoping</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CopingCapacity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Livelihoods Coping Strategies Index (LCSI)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Registered Food Assistance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Received Food Assistance (%)</w:t>
            </w:r>
          </w:p>
        </w:tc>
      </w:tr>
      <w:tr>
        <w:trPr>
          <w:trHeight w:val="353"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LivingConditions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ProtectionElements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Shelter Type (%)</w:t>
            </w:r>
          </w:p>
        </w:tc>
      </w:tr>
      <w:tr>
        <w:trPr>
          <w:trHeight w:val="353"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NutritionServices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Acutely Malnourished Children Accessing Therapeutic Nutrition Services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Acutely Malnourished Pregnant or Lactating Women Accessing Preventive Nutrition Services (%)</w:t>
            </w:r>
          </w:p>
        </w:tc>
      </w:tr>
      <w:tr>
        <w:trPr>
          <w:trHeight w:val="353"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NutritionStatus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Global Acute Malnutrition by MUAC for Children 6-59 months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Global Acute Malnutrition by MUAC for Pregnant and Lactating Women (%)</w:t>
            </w:r>
          </w:p>
        </w:tc>
      </w:tr>
      <w:tr>
        <w:trPr>
          <w:trHeight w:val="353"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Median liters of all purpose water per person per day</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Median liters of all purpose water per person per day</w:t>
            </w:r>
          </w:p>
        </w:tc>
      </w:tr>
      <w:tr>
        <w:trPr>
          <w:trHeight w:val="353"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WaterSecurity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Main Source of Water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JMP Water Service Ladder Classification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Household Water Insecurity Experiences Scale (HWISE) (%)</w:t>
            </w:r>
          </w:p>
        </w:tc>
      </w:tr>
      <w:tr>
        <w:trPr>
          <w:trHeight w:val="353"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Proportion of Households by Usage of Main Water Source (%)</w:t>
            </w:r>
          </w:p>
        </w:tc>
      </w:tr>
    </w:tbl>
    <w:bookmarkStart w:id="68" w:name="sample-size-calculations"/>
    <w:p>
      <w:pPr>
        <w:pStyle w:val="Heading4"/>
      </w:pPr>
      <w:r>
        <w:t xml:space="preserve">4.5.1.1 Sample Size Calculations</w:t>
      </w:r>
    </w:p>
    <w:p>
      <w:pPr>
        <w:pStyle w:val="FirstParagraph"/>
      </w:pPr>
      <w:r>
        <w:t xml:space="preserve">Sample sizes were calculated at a 95% confidence level in R version 4.6.1 (2026-06-24 ucrt) for both GAM by MUAC and Crude Death Rate with the highest sample size between the two indicators being selected per strata. The sampling parameters for each parameter are summarized in the tables below. The resulting final household sample size across strata is 640.</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Program Files\RStudio\resources\app\bin\quarto\share\formats\docx\tip.png" id="6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Sample Size Parameter Justifications</w:t>
            </w:r>
          </w:p>
        </w:tc>
      </w:tr>
      <w:tr>
        <w:trPr>
          <w:cantSplit/>
        </w:trPr>
        <w:tc>
          <w:tcPr>
            <w:tcMar>
              <w:top w:w="108" w:type="dxa"/>
              <w:bottom w:w="108" w:type="dxa"/>
            </w:tcMar>
          </w:tcPr>
          <w:p>
            <w:pPr>
              <w:pStyle w:val="BodyText"/>
            </w:pPr>
            <w:pPr>
              <w:spacing w:before="16"/>
            </w:pPr>
            <w:r>
              <w:rPr>
                <w:b/>
                <w:bCs/>
              </w:rPr>
              <w:t xml:space="preserve">Reviewer Note:</w:t>
            </w:r>
            <w:r>
              <w:t xml:space="preserve"> </w:t>
            </w:r>
            <w:r>
              <w:t xml:space="preserve">Please add justifications to the sample size tables to explain why each parameter was selected for sampling. Where possible, cite sources from previous surveys from the same or similar population. Refer to the IPHRA Technical Guidance manual for assumptions when limited information exists.</w:t>
            </w:r>
          </w:p>
          <w:p>
            <w:pPr>
              <w:pStyle w:val="BodyText"/>
            </w:pPr>
            <w:pPr>
              <w:spacing w:after="16"/>
            </w:pPr>
            <w:r>
              <w:rPr>
                <w:b/>
                <w:bCs/>
              </w:rPr>
              <w:t xml:space="preserve">DELETE THIS NOTE BEFORE SUBMITTING DOCUMENT</w:t>
            </w:r>
          </w:p>
        </w:tc>
      </w:tr>
    </w:tbl>
    <w:p>
      <w:pPr>
        <w:pStyle w:val="BodyText"/>
      </w:pPr>
      <w:r>
        <w:t xml:space="preserve">The sample size for the survey for GAM by MUAC was calculated using the parameters in the table below:</w:t>
      </w:r>
    </w:p>
    <w:p>
      <w:pPr>
        <w:pStyle w:val="BodyText"/>
      </w:pPr>
      <w:r>
        <w:rPr>
          <w:b/>
          <w:bCs/>
        </w:rPr>
        <w:t xml:space="preserve">Table 4. Sample size calculation parameters for GAM by MUAC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10"/>
        <w:gridCol w:w="1170"/>
        <w:gridCol w:w="1170"/>
        <w:gridCol w:w="3510"/>
      </w:tblGrid>
      <w:tr>
        <w:trPr>
          <w:trHeight w:val="360" w:hRule="auto"/>
          <w:tblHeader/>
        </w:trPr>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Mueda.IDP</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Mueda.Host</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Justification</w:t>
            </w:r>
          </w:p>
        </w:tc>
      </w:tr>
      <w:tr>
        <w:trPr>
          <w:trHeight w:val="360" w:hRule="auto"/>
        </w:trPr>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GAM by MUAC</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GAM by MUAC</w:t>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simple_random_even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cluster</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Estimated Prevalence (%)</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Desired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Estimated population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87,000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Individuals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770</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1,255</w:t>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Average Household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sub-population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Non-Response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140</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229</w:t>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The sample size for the rate survey for Crude Death Rate was calculated using the parameters in the table below:</w:t>
      </w:r>
    </w:p>
    <w:p>
      <w:pPr>
        <w:pStyle w:val="BodyText"/>
      </w:pPr>
      <w:r>
        <w:rPr>
          <w:b/>
          <w:bCs/>
        </w:rPr>
        <w:t xml:space="preserve">Table 5. Sample size calculation parameters for Crude Death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10"/>
        <w:gridCol w:w="1170"/>
        <w:gridCol w:w="1170"/>
        <w:gridCol w:w="3510"/>
      </w:tblGrid>
      <w:tr>
        <w:trPr>
          <w:trHeight w:val="360" w:hRule="auto"/>
          <w:tblHeader/>
        </w:trPr>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Mueda.IDP</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Mueda.Host</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Justification</w:t>
            </w:r>
          </w:p>
        </w:tc>
      </w:tr>
      <w:tr>
        <w:trPr>
          <w:trHeight w:val="360" w:hRule="auto"/>
        </w:trPr>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Crude Death Rate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Crude Death Rate</w:t>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simple_random_even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cluster</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Expected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Rate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0.4</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Rate Period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Population size (overall)</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87,000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Population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1,201 people</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1,961 people</w:t>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Person-Time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120,100 person days</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196,100 person days</w:t>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Average Household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Non-Respondents</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243 households</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397 households</w:t>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The sample size for the indicator GAM by MUAC was 369 households and for the indicator Crude Death Rate the sample size was 640 households. The higher of these two values is taken as the final sample size of 640.</w:t>
      </w:r>
      <w:r>
        <w:t xml:space="preserve"> </w:t>
      </w:r>
      <w:r>
        <w:rPr>
          <w:b/>
          <w:bCs/>
        </w:rPr>
        <w:t xml:space="preserve">Table 6. Field planning calculations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10"/>
        <w:gridCol w:w="1170"/>
        <w:gridCol w:w="1170"/>
        <w:gridCol w:w="3510"/>
      </w:tblGrid>
      <w:tr>
        <w:trPr>
          <w:trHeight w:val="360" w:hRule="auto"/>
          <w:tblHeader/>
        </w:trPr>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Mueda.IDP</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Mueda.Host</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Justification</w:t>
            </w:r>
          </w:p>
        </w:tc>
      </w:tr>
      <w:tr>
        <w:trPr>
          <w:trHeight w:val="360" w:hRule="auto"/>
        </w:trPr>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Total Sample Size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243</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397</w:t>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Number of Teams</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Enumerators per Team</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Clusters per Day</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Interview Time (mins)</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Travel Time (mins)</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Rest Time (mins)</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Start Time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End Time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Interviews / Enumerator / Day</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Estimated Days</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Recommended Cluster Size</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w:t>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Recommended Clusters</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w:t>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bookmarkEnd w:id="68"/>
    <w:bookmarkStart w:id="69" w:name="site-selection-methods"/>
    <w:p>
      <w:pPr>
        <w:pStyle w:val="Heading4"/>
      </w:pPr>
      <w:r>
        <w:t xml:space="preserve">4.5.1.2 Site Selection Methods</w:t>
      </w:r>
    </w:p>
    <w:p>
      <w:pPr>
        <w:pStyle w:val="FirstParagraph"/>
      </w:pPr>
      <w:r>
        <w:t xml:space="preserve">The assessment will be conducted across 2 strata, with a total of 12 sites selected for the assessment. Different site selection methods will be used for different stratum. The sites will be selected using the following methods:</w:t>
      </w:r>
    </w:p>
    <w:p>
      <w:pPr>
        <w:pStyle w:val="BodyText"/>
      </w:pPr>
      <w:r>
        <w:rPr>
          <w:b/>
          <w:bCs/>
        </w:rPr>
        <w:t xml:space="preserve">Simple Random Sampling (Even Allocation):</w:t>
      </w:r>
      <w:r>
        <w:t xml:space="preserve"> </w:t>
      </w:r>
      <w:r>
        <w:t xml:space="preserve">The following total number of sites per stratum will be selected for this assessment: stratum 1: 6, stratum 2: 6. Due to a lack of reliable population data, these sites will be selected with simple random sampling with each site having an equal change of selection. This method for site selection is only applicable when no population data is available, however teams must evaluate population size, find estimates at field level, or evaluate relative population size between sites for later analysis. The sample will be evenly allocated across selected sites with the following number of households per stratum per site: stratum 1: 8, stratum 2: 8. Additional weighting applied during analysis to account for under- or over-sampling of population groups between sites.</w:t>
      </w:r>
    </w:p>
    <w:p>
      <w:pPr>
        <w:pStyle w:val="BodyText"/>
      </w:pPr>
      <w:r>
        <w:rPr>
          <w:b/>
          <w:bCs/>
        </w:rPr>
        <w:t xml:space="preserve">Probability Proportional to Size (PPS) Sampling:</w:t>
      </w:r>
      <w:r>
        <w:t xml:space="preserve"> </w:t>
      </w:r>
      <w:r>
        <w:t xml:space="preserve">The following number of PSUs/clusters will be selected per stratum: stratum 1: 6, stratum 2: 6. PSUs/clusters will be selected using probability proportional to size (PPS) sampling with the probability of selection proportional the population size of the PSU. Sampling with replacement will be used meaning selected PSU may have the chance to have multiple survey clusters. The cluster size for each stratum is as follows: stratum 1: 8, stratum 2: 8.</w:t>
      </w:r>
    </w:p>
    <w:bookmarkEnd w:id="69"/>
    <w:bookmarkStart w:id="70" w:name="household-selection-methods"/>
    <w:p>
      <w:pPr>
        <w:pStyle w:val="Heading4"/>
      </w:pPr>
      <w:r>
        <w:t xml:space="preserve">4.5.1.3 Household Selection Methods</w:t>
      </w:r>
    </w:p>
    <w:p>
      <w:pPr>
        <w:pStyle w:val="FirstParagraph"/>
      </w:pPr>
      <w:r>
        <w:rPr>
          <w:b/>
          <w:bCs/>
        </w:rPr>
        <w:t xml:space="preserve">Simple Random Sampling:</w:t>
      </w:r>
      <w:r>
        <w:t xml:space="preserve"> </w:t>
      </w:r>
      <w:r>
        <w:t xml:space="preserve">Within selected sites, households will be selected using simple random sampling methods. Acceptable options for field teams to implement simple random sampling will include (a) sampling from a pre-existing list or map at the community level, (b) creating a rapid listing of households with the support of community leaders, (c) creating a rapid map of households with the support of community leaders walking through the site. If a pre-existing list or map is used at the community level, supervisors should probe and ensure with community leaders that it is up to date with households that may have joined or left the community.</w:t>
      </w:r>
    </w:p>
    <w:p>
      <w:pPr>
        <w:pStyle w:val="BodyText"/>
      </w:pPr>
      <w:r>
        <w:t xml:space="preserve">If the site has greater than 100 households, the team should segment the site into smaller manageable areas of 100 households or less. Supervisors should discuss with community leaders on how best to practically split up the community along roads, rivers, or other meaningful landmarks and estimating to the best of their ability the number of households per segment. The supervisor should utilize PPS sampling between these segments to select the number of PSUs needed for that site.</w:t>
      </w:r>
    </w:p>
    <w:p>
      <w:pPr>
        <w:pStyle w:val="BodyText"/>
      </w:pPr>
      <w:r>
        <w:t xml:space="preserve">The final list or map of households for the site, or within selected segments, should be numbered sequentially from 1-n. The teams should utilize a random number generator on a phone to randomly select the required number of households from the list or map. This household selection method will be applied for the following strata: Mueda Host.</w:t>
      </w:r>
    </w:p>
    <w:bookmarkEnd w:id="70"/>
    <w:bookmarkStart w:id="71" w:name="team-composition-training-and-planning"/>
    <w:p>
      <w:pPr>
        <w:pStyle w:val="Heading4"/>
      </w:pPr>
      <w:r>
        <w:t xml:space="preserve">4.5.1.4 Team Composition, Training and Planning</w:t>
      </w:r>
    </w:p>
    <w:p>
      <w:pPr>
        <w:pStyle w:val="FirstParagraph"/>
      </w:pPr>
      <w:r>
        <w:t xml:space="preserve">The exact composition of teams will depend on the number of tools being implemented. For household surveys, teams will consist of one field supervisor and 3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pPr>
        <w:pStyle w:val="BodyText"/>
      </w:pPr>
      <w:r>
        <w:t xml:space="preserve">Teams will receive a minimum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pPr>
        <w:pStyle w:val="BodyText"/>
      </w:pPr>
      <w:r>
        <w:t xml:space="preserve">An additional session will be included for training on MUAC measurements as well as a half day of training for a MUAC standardization test.</w:t>
      </w:r>
    </w:p>
    <w:p>
      <w:pPr>
        <w:pStyle w:val="BodyText"/>
      </w:pPr>
      <w:r>
        <w:t xml:space="preserve">An additional session will be included for training on mortality data collection and basic psychosocial first aid skills for enumerators to recognize and appropriately respond to distress during the survey.</w:t>
      </w:r>
    </w:p>
    <w:p>
      <w:pPr>
        <w:pStyle w:val="BodyText"/>
      </w:pPr>
      <w:r>
        <w:t xml:space="preserve">Field supervisors will have a key role in ensuring research quality during data collection. Key responsibilities will include:</w:t>
      </w:r>
    </w:p>
    <w:p>
      <w:pPr>
        <w:pStyle w:val="Compact"/>
        <w:numPr>
          <w:ilvl w:val="0"/>
          <w:numId w:val="1009"/>
        </w:numPr>
      </w:pPr>
      <w:r>
        <w:t xml:space="preserve">Providing daily feedback sessions to the data collection team</w:t>
      </w:r>
    </w:p>
    <w:p>
      <w:pPr>
        <w:pStyle w:val="Compact"/>
        <w:numPr>
          <w:ilvl w:val="0"/>
          <w:numId w:val="1009"/>
        </w:numPr>
      </w:pPr>
      <w:r>
        <w:t xml:space="preserve">Monitoring completion of assessment against planned targets</w:t>
      </w:r>
    </w:p>
    <w:p>
      <w:pPr>
        <w:pStyle w:val="Compact"/>
        <w:numPr>
          <w:ilvl w:val="0"/>
          <w:numId w:val="1009"/>
        </w:numPr>
      </w:pPr>
      <w:r>
        <w:t xml:space="preserve">Completing cluster control forms</w:t>
      </w:r>
    </w:p>
    <w:p>
      <w:pPr>
        <w:pStyle w:val="Compact"/>
        <w:numPr>
          <w:ilvl w:val="0"/>
          <w:numId w:val="1009"/>
        </w:numPr>
      </w:pPr>
      <w:r>
        <w:t xml:space="preserve">Ensuring proper household sampling techniques are applied</w:t>
      </w:r>
    </w:p>
    <w:p>
      <w:pPr>
        <w:pStyle w:val="Compact"/>
        <w:numPr>
          <w:ilvl w:val="0"/>
          <w:numId w:val="1009"/>
        </w:numPr>
      </w:pPr>
      <w:r>
        <w:t xml:space="preserve">Providing supportive supervision to enumerators</w:t>
      </w:r>
    </w:p>
    <w:bookmarkEnd w:id="71"/>
    <w:bookmarkEnd w:id="72"/>
    <w:bookmarkStart w:id="75" w:name="key-informant-interviews"/>
    <w:p>
      <w:pPr>
        <w:pStyle w:val="Heading3"/>
      </w:pPr>
      <w:r>
        <w:t xml:space="preserve">4.5.2 Key Informant Interviews</w:t>
      </w:r>
    </w:p>
    <w:p>
      <w:pPr>
        <w:pStyle w:val="FirstParagraph"/>
      </w:pPr>
      <w:r>
        <w:t xml:space="preserve">There are several core and supplemental key informant tools within the IPHRA toolkit, however for the purposes of this assessment the following key informant interviews are planned to assess these dimensions:</w:t>
      </w:r>
    </w:p>
    <w:p>
      <w:pPr>
        <w:pStyle w:val="BodyText"/>
      </w:pPr>
      <w:r>
        <w:rPr>
          <w:b/>
          <w:bCs/>
        </w:rPr>
        <w:t xml:space="preserve">Table 7. ANA Pillars and Sub-Pillars in Key Informant Tools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69"/>
        <w:gridCol w:w="1768"/>
        <w:gridCol w:w="1628"/>
      </w:tblGrid>
      <w:tr>
        <w:trPr>
          <w:trHeight w:val="518"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Tool</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Sub.Pillar</w:t>
            </w:r>
          </w:p>
        </w:tc>
      </w:tr>
      <w:tr>
        <w:trPr>
          <w:trHeight w:val="508"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Community Leader and Community Member KII</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ExposureDisease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Hygiene</w:t>
            </w:r>
          </w:p>
        </w:tc>
      </w:tr>
      <w:tr>
        <w:trPr>
          <w:trHeight w:val="518"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HealthStatus</w:t>
            </w:r>
          </w:p>
        </w:tc>
      </w:tr>
      <w:tr>
        <w:trPr>
          <w:trHeight w:val="518"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IncomeCoping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Income</w:t>
            </w:r>
          </w:p>
        </w:tc>
      </w:tr>
      <w:tr>
        <w:trPr>
          <w:trHeight w:val="518"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CopingCapacity</w:t>
            </w:r>
          </w:p>
        </w:tc>
      </w:tr>
    </w:tbl>
    <w:p>
      <w:pPr>
        <w:pStyle w:val="BodyText"/>
      </w:pPr>
      <w:r>
        <w:t xml:space="preserve">At least one community leaders and at least two community members (not formal leaders) should be selected from each sampled community or site for the Community Key Informant Tool. Community members can act as informants and are included to balance out perspectives that may be missed if only community leaders are interviewed. It is recommended that a mix of purposive and random selection is used for identifying respondents:</w:t>
      </w:r>
    </w:p>
    <w:p>
      <w:pPr>
        <w:numPr>
          <w:ilvl w:val="0"/>
          <w:numId w:val="1010"/>
        </w:numPr>
      </w:pPr>
      <w:r>
        <w:t xml:space="preserve">Purposive Selection: Community leaders should be purposefully selected based on those who have formal or informal leadership roles in the community and can speak on behalf of community members, such as village chiefs, deputy cheifs, etc.</w:t>
      </w:r>
    </w:p>
    <w:p>
      <w:pPr>
        <w:numPr>
          <w:ilvl w:val="0"/>
          <w:numId w:val="1010"/>
        </w:numPr>
      </w:pPr>
      <w:r>
        <w:t xml:space="preserve">Random Selection: Community members should be randomly selected from the community to ensure a diversity of perspectives are included. Community leaders SHOULD NOT select these individuals for the assessment team. The aim of this random selection isn’t to ensure any statistical representativeness, but to ensure we are accessing unbiased perspectives in the community. Assessment teams should use a simple random walk following the below procedure:</w:t>
      </w:r>
    </w:p>
    <w:p>
      <w:pPr>
        <w:pStyle w:val="Compact"/>
        <w:numPr>
          <w:ilvl w:val="1"/>
          <w:numId w:val="1011"/>
        </w:numPr>
      </w:pPr>
      <w:r>
        <w:t xml:space="preserve">First, go to the approximate center of the assessment site.</w:t>
      </w:r>
    </w:p>
    <w:p>
      <w:pPr>
        <w:pStyle w:val="Compact"/>
        <w:numPr>
          <w:ilvl w:val="1"/>
          <w:numId w:val="1011"/>
        </w:numPr>
      </w:pPr>
      <w:r>
        <w:t xml:space="preserve">Second, spin and toss a pen into the air to determine a direction.</w:t>
      </w:r>
    </w:p>
    <w:p>
      <w:pPr>
        <w:pStyle w:val="Compact"/>
        <w:numPr>
          <w:ilvl w:val="1"/>
          <w:numId w:val="1011"/>
        </w:numPr>
      </w:pPr>
      <w:r>
        <w:t xml:space="preserve">Third, walk approximately 45 seconds in that direction depending on the size of the area. Choose the household immediately on your right and ask if they consent to an interview. If not, move to the household immediately to the right of that.</w:t>
      </w:r>
    </w:p>
    <w:p>
      <w:pPr>
        <w:pStyle w:val="Compact"/>
        <w:numPr>
          <w:ilvl w:val="1"/>
          <w:numId w:val="1011"/>
        </w:numPr>
      </w:pPr>
      <w:r>
        <w:t xml:space="preserve">Fourth, return to the center of town, walk approximately 45 seconds in the opposite direction and select the household on the immediate right for a second community member interview.</w:t>
      </w:r>
    </w:p>
    <w:p>
      <w:pPr>
        <w:pStyle w:val="Compact"/>
        <w:numPr>
          <w:ilvl w:val="1"/>
          <w:numId w:val="1011"/>
        </w:numPr>
      </w:pPr>
      <w:r>
        <w:t xml:space="preserve">Adapt as needed based on the size and shape of the location.</w:t>
      </w:r>
    </w:p>
    <w:p>
      <w:pPr>
        <w:pStyle w:val="FirstParagraph"/>
      </w:pPr>
      <w:r>
        <w:t xml:space="preserve">In the event of specific at-risk or difficult to identify groups within the population, it may be necessary to identify key informants through snowball sampling by asking local service providers for referrals. Consider this if there are specific groups that you want their views represented in the community key informant tools.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C:\Program Files\RStudio\resources\app\bin\quarto\share\formats\docx\tip.png" id="7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When preparing the key informant tool, please consult with HQ Cash Specialist, in-country Cash Working Groups, or review recent JMMI or market monitoring reports to identify and select between 3 to 5 market items to ask about availability and prices. It is recommended to include 2 staple crops, a vegetable, soap, and one type of fuel. Depending on the assessment objectives, you may choose different groups of items for different population groups.</w:t>
            </w:r>
          </w:p>
          <w:p>
            <w:pPr>
              <w:pStyle w:val="BodyText"/>
            </w:pPr>
            <w:pPr>
              <w:spacing w:after="16"/>
            </w:pPr>
            <w:r>
              <w:t xml:space="preserve">Please see the example table below and complete with selected market items to be asked in the market key informant tools.</w:t>
            </w:r>
          </w:p>
        </w:tc>
      </w:tr>
    </w:tbl>
    <w:bookmarkEnd w:id="75"/>
    <w:bookmarkEnd w:id="76"/>
    <w:bookmarkStart w:id="82" w:name="data-processing-and-analysis"/>
    <w:p>
      <w:pPr>
        <w:pStyle w:val="Heading2"/>
      </w:pPr>
      <w:r>
        <w:t xml:space="preserve">4.6 Data Processing and Analysis</w:t>
      </w:r>
    </w:p>
    <w:p>
      <w:pPr>
        <w:pStyle w:val="FirstParagraph"/>
      </w:pPr>
      <w:r>
        <w:t xml:space="preserve">Template data collection tools with Kobo have been adapted for this assessment. Both quantitative and qualitative data will be collected using KoboCollect on Android devices and uploaded to a Kobo server.</w:t>
      </w:r>
    </w:p>
    <w:bookmarkStart w:id="79" w:name="household-survey-data"/>
    <w:p>
      <w:pPr>
        <w:pStyle w:val="Heading3"/>
      </w:pPr>
      <w:r>
        <w:t xml:space="preserve">4.6.1 Household Survey Data</w:t>
      </w:r>
    </w:p>
    <w:p>
      <w:pPr>
        <w:pStyle w:val="FirstParagraph"/>
      </w:pPr>
      <w:r>
        <w:t xml:space="preserve">Household data will be collected using a contextualized IPHRA KoboCollect tool. Cleaning, indicator calculations, and analysis will be done using a pre-prepared IPHRA application using R version 4.6.1 (2026-06-24 ucrt).</w:t>
      </w:r>
    </w:p>
    <w:p>
      <w:pPr>
        <w:pStyle w:val="BodyText"/>
      </w:pPr>
      <w:r>
        <w:t xml:space="preserve">The data processing and analysis will differ between stratum due to varying sampling strategies. The following approaches will be used for the designated stratum:</w:t>
      </w:r>
    </w:p>
    <w:p>
      <w:pPr>
        <w:pStyle w:val="BodyText"/>
      </w:pPr>
      <w:r>
        <w:rPr>
          <w:b/>
          <w:bCs/>
        </w:rPr>
        <w:t xml:space="preserve">Weighted Simple Random Design:</w:t>
      </w:r>
      <w:r>
        <w:t xml:space="preserve"> </w:t>
      </w:r>
      <w:r>
        <w:t xml:space="preserve">The household analysis will be treated as a simple random sampling design across sites. If relative population figures are available in the field, then they will be accounted for to relatively weight the results between sites. If not, then an unweighted analysis will be produced.</w:t>
      </w:r>
    </w:p>
    <w:p>
      <w:pPr>
        <w:pStyle w:val="BodyText"/>
      </w:pPr>
      <w:r>
        <w:t xml:space="preserve">An additional set of weights will be generated between strata to account for under- or over-sampling of population groups. Each set of weights will be multiplied together at the household level to generate a single set of composite weights for aggregated analysis.</w:t>
      </w:r>
    </w:p>
    <w:p>
      <w:pPr>
        <w:pStyle w:val="BodyText"/>
      </w:pPr>
      <w:r>
        <w:rPr>
          <w:b/>
          <w:bCs/>
        </w:rPr>
        <w:t xml:space="preserve">Simple Random Design with RLC:</w:t>
      </w:r>
      <w:r>
        <w:t xml:space="preserve"> </w:t>
      </w:r>
      <w:r>
        <w:t xml:space="preserve">The household analysis will be treated as a weighted cluster design across sites with groupings of households at each GPS point treated as the clusters in the analysis. Survey weights will be generated between sites to correct for under- or over-sampling between sites based on the best available population estimated the field teams were able to recover. If no adequate population data was available during the assessment, the final analysis will be unweighted. If population density is assessed to be very different within or across assessment sites, survey weights will be used for each random location cluster equivalent to the inverse of the population density of each cluster. This is intended to correct for any bias due to an uneven population density across the assessment area to make sure households have a more equal representation in the dataset. Population density is estimated based on the number of people in households within a random location cluster divided by the area of the circle formed by the locations of the three households and the GPS point of that random location cluster.</w:t>
      </w:r>
    </w:p>
    <w:p>
      <w:pPr>
        <w:pStyle w:val="BodyText"/>
      </w:pPr>
      <w:r>
        <w:t xml:space="preserve">An additional set of weights will be generated between strata to account for under- or over-sampling of population groups. Each set of weights will be multiplied together at the household level to generate a single set of composite weights for aggregated analysis.</w:t>
      </w:r>
    </w:p>
    <w:p>
      <w:pPr>
        <w:pStyle w:val="BodyText"/>
      </w:pPr>
      <w:r>
        <w:rPr>
          <w:b/>
          <w:bCs/>
        </w:rPr>
        <w:t xml:space="preserve">Cluster Design:</w:t>
      </w:r>
      <w:r>
        <w:t xml:space="preserve"> </w:t>
      </w:r>
      <w:r>
        <w:t xml:space="preserve">The household analysis will be treated as a cluster design and sites/PSUs will be treated as clusters in the analysis. Survey weights will be generated for aggregation of results between strata.</w:t>
      </w:r>
    </w:p>
    <w:p>
      <w:pPr>
        <w:pStyle w:val="BodyText"/>
      </w:pPr>
      <w:r>
        <w:rPr>
          <w:b/>
          <w:bCs/>
        </w:rPr>
        <w:t xml:space="preserve">Cluster Design with RLC:</w:t>
      </w:r>
      <w:r>
        <w:t xml:space="preserve"> </w:t>
      </w:r>
      <w:r>
        <w:t xml:space="preserve">The household analysis will be treated as a cluster design with sites/PSU being the primary clusters assigned in the analysis. Within these PSUs, additional clustering effects may be taking place as three households are sampled per random location cluster (GPS point) however this clustering effect will not be explicitly accounted for in the analysis. If population density is assessed to be very different within assessment sites/PSUs, survey weights will be used for each random location cluster equivalent to the inverse of the population density of each random location cluster. This is intended to correct for any bias due to an uneven population density across the assessment area to make sure households have a more equal representation in the dataset. Population density is estimated based on the number of people in households within a random location cluster divided by the area of the circle formed by the locations of the three households and the GPS point of that random location cluster. An additional set of weights will be generated between strata to account for under- or over-sampling of population groups. Each set of weights for strata and random location clusters will be multiplied together at the household level to generate a single set of composite weights for aggregated analysis.</w:t>
      </w:r>
    </w:p>
    <w:bookmarkStart w:id="77" w:name="X23065d8e22c9fad3f89fd7f53fade8ef64032a6"/>
    <w:p>
      <w:pPr>
        <w:pStyle w:val="Heading4"/>
      </w:pPr>
      <w:r>
        <w:t xml:space="preserve">4.6.1.1 Mid-Upper Arm Circumference (MUAC) Analysis</w:t>
      </w:r>
    </w:p>
    <w:p>
      <w:pPr>
        <w:pStyle w:val="FirstParagraph"/>
      </w:pPr>
      <w:r>
        <w:t xml:space="preserve">Global acute malnutrition by MUAC will be calculated by classifying all children with MUAC &lt;125mm and/or presence of bilateral pitting edema as acutely malnourished. Severe acute malnutrition by MUAC will be calculated by classifying all children with MUAC &lt;115mm and/or presence of bilateral pitting edema as severely acutely malnourished. The analysis of these indicators will be disaggregated by sex and age group (6-11 months, 12-23 months, 24-35 months, 36-47 months, and 48-59 months). Children with extreme MUAC measurements less than 80mm or greater than 200mm will be excluded from the analysis due to likelihood of measurement error.</w:t>
      </w:r>
    </w:p>
    <w:p>
      <w:pPr>
        <w:pStyle w:val="BodyText"/>
      </w:pPr>
      <w:r>
        <w:t xml:space="preserve">Global acute malnutrition by MUAC-for-Age z-scores (MFAZ) will be calculated by classifying all children with MUAC-for-Age z-score &lt;-2 and/or presence of bilateral pitting edema as acutely malnourished. Severe acute malnutrition by MUAC-for-Age z-scores will be calculated by classifying all children with MUAC-for-Age z-score &lt;-3 and/or presence of bilateral pitting edema as severely acutely malnourished. The analysis of these indicators will be disaggregated by age group (6-11 months, 12-23 months, 24-35 months, 36-47 months, and 48-59 months). Children with extreme MFAZ less than -4 SD from the mean MFAZ of the sample or greater than 4 standard deviations from the mean MFAZ of the sample will be excluded from the analysis due to likelihood of measurement error.</w:t>
      </w:r>
    </w:p>
    <w:p>
      <w:pPr>
        <w:pStyle w:val="BodyText"/>
      </w:pPr>
      <w:r>
        <w:t xml:space="preserve">The ratio of children 0-23 months of age to children 24-59 months of age in the sample will be evaluated to determine if additional age weighting is needed for analysis of the indicator Global or Severe Acute Malnutrition by MUAC. If strong differences are observed against an expected proportion of two-thirds children 24-59 months out of all under-5 year old children, then a set of weights will be applied if the child is 0-23 months or 24-59 months for this specific indicator. The age weights will be multiplied with any household level weights to generate a single set of composite weight for analysis.</w:t>
      </w:r>
    </w:p>
    <w:p>
      <w:pPr>
        <w:pStyle w:val="BodyText"/>
      </w:pPr>
      <w:r>
        <w:t xml:space="preserve">The quality of MUAC results will be evaluated by reviewing several key paramaters including standard deviation of MUAC, standard deviation of MFAZ, digit preference scores, sex and age ratios, and other indicators of measurement quality. Enumerators identified to be strongly influencing the results with poor quality MUAC measurements may be excluded from analysis. Quality of enumerator work will be assessed continuously throughout the survey period.</w:t>
      </w:r>
    </w:p>
    <w:p>
      <w:pPr>
        <w:pStyle w:val="BodyText"/>
      </w:pPr>
      <w:r>
        <w:t xml:space="preserve">Global acute malnutrition by MUAC for women of reproductive age (15-49 years) will be calculated by classifying all women with MUAC &lt;210mm as acutely malnourished and all women with MUAC &lt;190mm as severely acutely malnourished. Results will be disaggregated by pregnancy status (pregnant, breastfeeding a child 0-5 months of age, breastfeeding a child 6-23 months of age, non-pregnant/non-breastfeeding). Extreme MUAC measurements of less than 100mm or greater than 300mm will be excluded from the analysis due to likelihood of measurement error.</w:t>
      </w:r>
    </w:p>
    <w:bookmarkEnd w:id="77"/>
    <w:bookmarkStart w:id="78" w:name="mortality-rate-analysis"/>
    <w:p>
      <w:pPr>
        <w:pStyle w:val="Heading4"/>
      </w:pPr>
      <w:r>
        <w:t xml:space="preserve">4.6.1.2 Mortality Rate Analysis</w:t>
      </w:r>
    </w:p>
    <w:p>
      <w:pPr>
        <w:pStyle w:val="FirstParagraph"/>
      </w:pPr>
      <w:r>
        <w:t xml:space="preserve">Crude mortality rate (CMR) will be calculated by dividing the number of deaths in the recall period by the total person-time at risk during the recall period and multiplying by 10,000 to get a rate per 10,000 population per day. Under-5 mortality rate (U5MR) will be calculated by dividing the number of deaths among children under 5 years of age in the recall period by the total person-time at risk among children under 5 years of age during the recall period and multiplying by 10,000 to get a rate per 10,000 under-5 population per day. Person-time at risk will be calculated for each household based on the number of people living in the household at the time of the survey times the number of days from the start of the recall period to the interview date of the household. Person-time will be subtracted from each household equal to the number of reported births and in-migrants to the household times half the number of recall days, and person-time will be added to each household equivalent to the number of deaths and out-migrants from the household times half the number of recall days. Crude and under-5 mortality rates will be disaggregated by sex, respondent reported broad cause of death (non-trauma, trauma, other), location of death (current place of residence, during migration, and last place of residence).</w:t>
      </w:r>
    </w:p>
    <w:p>
      <w:pPr>
        <w:pStyle w:val="BodyText"/>
      </w:pPr>
      <w:r>
        <w:t xml:space="preserve">The quality of mortality results will be evaluated by reviewing several key parameters including the sex and age ratios of the sample, the internal consistency of reported deaths to the household, distribution of deaths across teams and clusters, and other indicators of data quality. Enumerators identified to be strongly influencing the results with poor quality mortality data may be excluded from analysis. Quality of enumerator work will be assessed continuously throughout the survey period.</w:t>
      </w:r>
    </w:p>
    <w:bookmarkEnd w:id="78"/>
    <w:bookmarkEnd w:id="79"/>
    <w:bookmarkStart w:id="80" w:name="key-informant-and-observation-data"/>
    <w:p>
      <w:pPr>
        <w:pStyle w:val="Heading3"/>
      </w:pPr>
      <w:r>
        <w:t xml:space="preserve">4.6.2 Key Informant and Observation Data</w:t>
      </w:r>
    </w:p>
    <w:p>
      <w:pPr>
        <w:pStyle w:val="FirstParagraph"/>
      </w:pPr>
      <w:r>
        <w:t xml:space="preserve">Community key informant interviews and community observation checklists will be qualitatively analysed using a data saturation grid, with the objectives of (a) triangulating the non-quantitative data against the population quantitative data, and (b) attaining a better qualitative understanding of the nature of needs and barriers. The qualitative analysis uses a two-step process: Firstly, qualitative responses or observations are categorized as pertaining to one or more pillars or sub-pillars of the Acute Needs Framework to facilitate comparison of results across tools; and secondly a rapid coding is conducted to identify common themes and issues within pillars and sub-pillars. Responses will be compared across assessed sites. A standardized data saturation grid is used to facilitate this analysis.</w:t>
      </w:r>
    </w:p>
    <w:bookmarkEnd w:id="80"/>
    <w:bookmarkStart w:id="81" w:name="integrated-analysis"/>
    <w:p>
      <w:pPr>
        <w:pStyle w:val="Heading3"/>
      </w:pPr>
      <w:r>
        <w:t xml:space="preserve">4.6.3 Integrated Analysis</w:t>
      </w:r>
    </w:p>
    <w:p>
      <w:pPr>
        <w:pStyle w:val="FirstParagraph"/>
      </w:pPr>
      <w:r>
        <w:t xml:space="preserve">The IPHRA is a mixed methods approach that uses both quantitative and qualitative approaches to triangulate the severity of population needs and service gaps. In order to facilitate this, an integrated analysis is conducted to compare the responses across tools and assign an overall severity per ANA dimension. The objective of this exercise is to provide a holistic understanding and prioritization of different dimensions that may be threatening public health.</w:t>
      </w:r>
    </w:p>
    <w:p>
      <w:pPr>
        <w:pStyle w:val="BodyText"/>
      </w:pPr>
      <w:r>
        <w:t xml:space="preserve">The integrated analysis is conducted in three steps.</w:t>
      </w:r>
    </w:p>
    <w:p>
      <w:pPr>
        <w:pStyle w:val="Compact"/>
        <w:numPr>
          <w:ilvl w:val="0"/>
          <w:numId w:val="1012"/>
        </w:numPr>
      </w:pPr>
      <w:r>
        <w:t xml:space="preserve">Assign Severity for Quantitative Household Results</w:t>
      </w:r>
    </w:p>
    <w:p>
      <w:pPr>
        <w:pStyle w:val="Compact"/>
        <w:numPr>
          <w:ilvl w:val="0"/>
          <w:numId w:val="1012"/>
        </w:numPr>
      </w:pPr>
      <w:r>
        <w:t xml:space="preserve">Assign Severity for Qualitative Key Informant and Observation Results</w:t>
      </w:r>
    </w:p>
    <w:p>
      <w:pPr>
        <w:pStyle w:val="Compact"/>
        <w:numPr>
          <w:ilvl w:val="0"/>
          <w:numId w:val="1012"/>
        </w:numPr>
      </w:pPr>
      <w:r>
        <w:t xml:space="preserve">Assign an Overall Severity</w:t>
      </w:r>
    </w:p>
    <w:p>
      <w:pPr>
        <w:pStyle w:val="FirstParagraph"/>
      </w:pPr>
      <w:r>
        <w:t xml:space="preserve">In order to have a holistic understanding of the severity of public health needs and service gaps, it is suggested to include an integrated analysis table. This table will assign severity to one of the RoEM domains based on the evidence captured within the IPHRA assessment. The analyst can use the recommended thresholds in the standards tables located in the IPHRA Guidance document to help assign severity, however these are recommendations based on standards and if needed these thresholds may be contextualized at the country level.</w:t>
      </w:r>
    </w:p>
    <w:p>
      <w:pPr>
        <w:pStyle w:val="BodyText"/>
      </w:pPr>
      <w:r>
        <w:rPr>
          <w:b/>
          <w:bCs/>
        </w:rPr>
        <w:t xml:space="preserve">Table 8. Example Integrated Analysis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76"/>
        <w:gridCol w:w="2125"/>
        <w:gridCol w:w="2063"/>
        <w:gridCol w:w="1236"/>
        <w:gridCol w:w="1236"/>
        <w:gridCol w:w="1236"/>
      </w:tblGrid>
      <w:tr>
        <w:trPr>
          <w:trHeight w:val="212" w:hRule="auto"/>
          <w:tblHeader/>
        </w:trPr>
        <w:tc>
          <w:tcPr>
            <w:tcBorders>
              <w:bottom w:val="single" w:sz="8" w:space="0" w:color="666666"/>
              <w:top w:val="single" w:sz="8" w:space="0" w:color="666666"/>
              <w:left w:val="single" w:sz="8" w:space="0" w:color="666666"/>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Category</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Sub-Pillar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1</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2</w:t>
            </w:r>
          </w:p>
        </w:tc>
        <w:tc>
          <w:tcPr>
            <w:tcBorders>
              <w:bottom w:val="single" w:sz="8" w:space="0" w:color="666666"/>
              <w:top w:val="single" w:sz="8" w:space="0" w:color="666666"/>
              <w:left w:val="none" w:sz="0" w:space="0" w:color="000000"/>
              <w:right w:val="single" w:sz="8" w:space="0" w:color="666666"/>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3</w:t>
            </w:r>
          </w:p>
        </w:tc>
      </w:tr>
      <w:tr>
        <w:trPr>
          <w:trHeight w:val="39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Outcomes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(Individual Level)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Population 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Needs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Immediate Drivers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(Individual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Exposure to 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Reproductive Numbers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Food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Food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Water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Water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Income and 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Coping Capacity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Assets</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Living 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 from Elements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(Community Level)</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 from Vectors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Livelihoods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Functionality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WASH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bl>
    <w:bookmarkEnd w:id="81"/>
    <w:bookmarkEnd w:id="82"/>
    <w:bookmarkStart w:id="83" w:name="limitations"/>
    <w:p>
      <w:pPr>
        <w:pStyle w:val="Heading2"/>
      </w:pPr>
      <w:r>
        <w:t xml:space="preserve">4.7 Limitations</w:t>
      </w:r>
    </w:p>
    <w:p>
      <w:pPr>
        <w:pStyle w:val="FirstParagraph"/>
      </w:pPr>
      <w:r>
        <w:t xml:space="preserve">The IPHRA methodology is intended to be a rapid assessment toolkit to provide an indication of the most key public health outcomes and service coverage indicators compared to other more robust methods. Given the suggested IPHRA</w:t>
      </w:r>
      <w:r>
        <w:t xml:space="preserve"> </w:t>
      </w:r>
      <w:r>
        <w:t xml:space="preserve">methods, there are a few limitations to keep in mind:</w:t>
      </w:r>
    </w:p>
    <w:p>
      <w:pPr>
        <w:numPr>
          <w:ilvl w:val="0"/>
          <w:numId w:val="1013"/>
        </w:numPr>
      </w:pPr>
      <w:r>
        <w:t xml:space="preserve">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pPr>
        <w:numPr>
          <w:ilvl w:val="0"/>
          <w:numId w:val="1013"/>
        </w:numPr>
      </w:pPr>
      <w:r>
        <w:t xml:space="preserve">Likely Not Reaching Saturation – For the qualitative components, sample sizes are likely not adequate to reach a full saturation of responses in the population. The intent of these is to provide some light-touch information to triangulate with household survey results.</w:t>
      </w:r>
    </w:p>
    <w:p>
      <w:pPr>
        <w:numPr>
          <w:ilvl w:val="0"/>
          <w:numId w:val="1013"/>
        </w:numPr>
      </w:pPr>
      <w:r>
        <w:t xml:space="preserve">Accessibility – IPHRA is not a hard-to-reach methodology, and should only be applied to populations which the assessment team can physically access.</w:t>
      </w:r>
    </w:p>
    <w:p>
      <w:pPr>
        <w:numPr>
          <w:ilvl w:val="0"/>
          <w:numId w:val="1013"/>
        </w:numPr>
      </w:pPr>
      <w:r>
        <w:t xml:space="preserve">The indicator liters per person per day is calculated based on counting journeys to water points and estimating the amount of water collected per journey. This may not be a fully accurate representation of the actual liters per person per day consumed by the population, as it does not account for other sources of water or other factors that may influence water consumption.</w:t>
      </w:r>
    </w:p>
    <w:p>
      <w:pPr>
        <w:numPr>
          <w:ilvl w:val="0"/>
          <w:numId w:val="1013"/>
        </w:numPr>
      </w:pPr>
      <w:r>
        <w:t xml:space="preserve">The indicator Global Acute Malnutrition by MUAC is calculated based on the measurement of mid-upper arm circumference of children aged 6-59 months. This may not be a fully accurate representation of the nutritional status of the population, as it does not account for other factors or measures that may signify acute malnutrition such as weight for height comparisons.</w:t>
      </w:r>
    </w:p>
    <w:p>
      <w:pPr>
        <w:numPr>
          <w:ilvl w:val="0"/>
          <w:numId w:val="1013"/>
        </w:numPr>
      </w:pPr>
      <w:r>
        <w:t xml:space="preserve">The indicators Crude Mortality Rate and Under-5 Mortality Rate are calculated based on the number of deaths reported by households during the recall period. This may not be a fully accurate representation of the mortality rates in the population, as it relies on self-reported data and may be subject to recall bias or underreporting. Furthermore given this is a rapid assessment, the limited sample size may not be sufficient to provide very precise estimates when mortality rates are very high - particularly with under-5 mortality which should be interpreted with caution given the small sample size.</w:t>
      </w:r>
    </w:p>
    <w:p>
      <w:r>
        <w:br w:type="page"/>
      </w:r>
    </w:p>
    <w:bookmarkEnd w:id="83"/>
    <w:bookmarkEnd w:id="84"/>
    <w:bookmarkStart w:id="87" w:name="Xd696271e174876bf1f81d89a7f173d1f7d64b55"/>
    <w:p>
      <w:pPr>
        <w:pStyle w:val="Heading1"/>
      </w:pPr>
      <w:r>
        <w:t xml:space="preserve">5. Key Ethical Considerations and Related Risks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Program Files\RStudio\resources\app\bin\quarto\share\formats\docx\note.png" id="8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For any ethical consideration that is not met below, please specify any mitigation strategies and liaise with the Research Quality Unit (RQA).</w:t>
            </w:r>
          </w:p>
          <w:p>
            <w:pPr>
              <w:pStyle w:val="BodyText"/>
            </w:pPr>
            <w:pPr>
              <w:spacing w:after="16"/>
            </w:pPr>
            <w:r>
              <w:rPr>
                <w:b/>
                <w:bCs/>
              </w:rPr>
              <w:t xml:space="preserve">Reviewer Note:</w:t>
            </w:r>
            <w:r>
              <w:t xml:space="preserve"> </w:t>
            </w:r>
            <w:r>
              <w:t xml:space="preserve">Please ensure all proposed ethical considerations and mitigation strategies are aligned with IMPACT RQA standards. Please review that proposed mitigation is appropriate for sector specific risks related to anthropometry and mortality assessment.</w:t>
            </w:r>
          </w:p>
        </w:tc>
      </w:tr>
    </w:tbl>
    <w:p>
      <w:pPr>
        <w:pStyle w:val="BodyText"/>
      </w:pPr>
      <w:r>
        <w:t xml:space="preserve">The proposed research design meets / does not meet the following criteria:</w:t>
      </w:r>
    </w:p>
    <w:p>
      <w:pPr>
        <w:pStyle w:val="BodyText"/>
      </w:pPr>
      <w:r>
        <w:rPr>
          <w:b/>
          <w:bCs/>
        </w:rPr>
        <w:t xml:space="preserve">Table 9. Ethical Considerations and Risks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0"/>
        <w:gridCol w:w="1152"/>
        <w:gridCol w:w="2448"/>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The proposed research design...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Yes/No</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Details if no (including mitigation)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Has been coordinated with relevant stakeholders to avoid unnecessary duplication of data collection efforts?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Respects respondents, their rights and dignity (specifically by: seeking informed consent, designing length of survey/discussion while being considerate of participants’ time, ensuring accurate reporting of information provided)?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expose data collectors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expose respondents / their communities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collecting information on specific topics which may be stressful and/or re-traumatising for research participants (both respondents and data collectors)?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data collection with minors i.e. anyone less than 18 years 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data collection with other vulnerable groups e.g. persons with disabilities, victims/survivors of protection incidents,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Follows IMPACT SOPs for management of personally identifiable information?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if an anthropometric component is included (MUAC data), will a standardization test be conducted or trained measurers from local nutrition partners be involved?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if a mortality component is included (crude mortality rates), will the assessment team receive any basic Psychosocial First Aid (PFA) [@pfa2018] training beforehand?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will assessment teams be aware of basic complaints and referral mechanisms in case needed during the course of the assessment?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bl>
    <w:p>
      <w:pPr>
        <w:pStyle w:val="BodyText"/>
      </w:pPr>
      <w:r>
        <w:t xml:space="preserve">Psychosocial first aid is the skill of recognizing and appropriately responding in a humane and supportive way when someone is experiencing psychological distress.</w:t>
      </w:r>
      <w:r>
        <w:t xml:space="preserve"> </w:t>
      </w:r>
      <w:r>
        <w:t xml:space="preserve">(4)</w:t>
      </w:r>
    </w:p>
    <w:bookmarkEnd w:id="87"/>
    <w:bookmarkStart w:id="90" w:name="roles-and-responsibilities"/>
    <w:p>
      <w:pPr>
        <w:pStyle w:val="Heading1"/>
      </w:pPr>
      <w:r>
        <w:t xml:space="preserve">6. Roles and Responsibilities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C:\Program Files\RStudio\resources\app\bin\quarto\share\formats\docx\note.png" id="8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Please review the RACI Matrix and revise as needed on agreement with relevant country and HQ teams.</w:t>
            </w:r>
          </w:p>
          <w:p>
            <w:pPr>
              <w:pStyle w:val="BodyText"/>
            </w:pPr>
            <w:pPr>
              <w:spacing w:after="16"/>
            </w:pPr>
            <w:r>
              <w:rPr>
                <w:b/>
                <w:bCs/>
              </w:rPr>
              <w:t xml:space="preserve">Reviewer Note:</w:t>
            </w:r>
            <w:r>
              <w:t xml:space="preserve"> </w:t>
            </w:r>
            <w:r>
              <w:t xml:space="preserve">Please ensure the RACI is aligned with Traffic Light Review (TLR) or other program support guidance.</w:t>
            </w:r>
          </w:p>
        </w:tc>
      </w:tr>
    </w:tbl>
    <w:p>
      <w:pPr>
        <w:pStyle w:val="BodyText"/>
      </w:pPr>
      <w:r>
        <w:rPr>
          <w:b/>
          <w:bCs/>
        </w:rPr>
        <w:t xml:space="preserve">Table 10. RACI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584"/>
        <w:gridCol w:w="1584"/>
        <w:gridCol w:w="1584"/>
        <w:gridCol w:w="1584"/>
      </w:tblGrid>
      <w:tr>
        <w:trPr>
          <w:trHeight w:val="360" w:hRule="auto"/>
          <w:tblHeader/>
        </w:trPr>
        <w:tc>
          <w:tcPr>
            <w:tcBorders>
              <w:bottom w:val="single" w:sz="6"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Task Description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Responsible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Accountable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Consulted</w:t>
            </w:r>
          </w:p>
        </w:tc>
        <w:tc>
          <w:tcPr>
            <w:tcBorders>
              <w:bottom w:val="single" w:sz="6" w:space="0" w:color="000000"/>
              <w:top w:val="single" w:sz="6"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Informed</w:t>
            </w:r>
          </w:p>
        </w:tc>
      </w:tr>
      <w:tr>
        <w:trPr>
          <w:trHeight w:val="360" w:hRule="auto"/>
        </w:trPr>
        <w:tc>
          <w:tcPr>
            <w:tcBorders>
              <w:bottom w:val="none" w:sz="0"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design</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single" w:sz="6"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Supervising data collection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Field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Country Representative</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processing (checking, cleaning)</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Output production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Dissemination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Comms</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Monitoring &amp; Evaluation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Country Representative</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MEL</w:t>
            </w:r>
          </w:p>
        </w:tc>
      </w:tr>
      <w:tr>
        <w:trPr>
          <w:trHeight w:val="360" w:hRule="auto"/>
        </w:trPr>
        <w:tc>
          <w:tcPr>
            <w:tcBorders>
              <w:bottom w:val="single" w:sz="6"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Lessons learned</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single" w:sz="6"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MEL</w:t>
            </w:r>
          </w:p>
        </w:tc>
      </w:tr>
    </w:tbl>
    <w:p>
      <w:r>
        <w:br w:type="page"/>
      </w:r>
    </w:p>
    <w:bookmarkEnd w:id="90"/>
    <w:bookmarkStart w:id="95" w:name="data-analysis-plans-daps"/>
    <w:p>
      <w:pPr>
        <w:pStyle w:val="Heading1"/>
      </w:pPr>
      <w:r>
        <w:t xml:space="preserve">7. Data Analysis Plans (DAPs)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C:\Program Files\RStudio\resources\app\bin\quarto\share\formats\docx\note.png" id="9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These data analysis plan (DAP) tables are automatically generated from the tools and indicators selected within the IPHRA application. If additional indicators, questions, or response options have been modified please make sure to update the corresponding DAP table below. ==Highlight in yellow if any indicators have been manually revised or added, please highlight in yellow for ease of identifying by reviewers==.</w:t>
            </w:r>
            <w:r>
              <w:t xml:space="preserve"> </w:t>
            </w:r>
          </w:p>
          <w:p>
            <w:pPr>
              <w:pStyle w:val="BodyText"/>
            </w:pPr>
            <w:r>
              <w:t xml:space="preserve">Please also review the planned disaggregation for various indicators. Suggested disaggregation variables are included by default, by can be reduced or revised as needed. Please ensure minimum disaggregation of individual data by sex and age, and of all indicators by survey strata.</w:t>
            </w:r>
          </w:p>
          <w:p>
            <w:pPr>
              <w:pStyle w:val="BodyText"/>
            </w:pPr>
            <w:pPr>
              <w:spacing w:after="16"/>
            </w:pPr>
            <w:r>
              <w:rPr>
                <w:b/>
                <w:bCs/>
              </w:rPr>
              <w:t xml:space="preserve">Reviewer Note:</w:t>
            </w:r>
            <w:r>
              <w:t xml:space="preserve"> </w:t>
            </w:r>
            <w:r>
              <w:t xml:space="preserve">Please review any non-standard changes to the DAP tables and ensure minimum required disaggregation are planned.</w:t>
            </w:r>
          </w:p>
        </w:tc>
      </w:tr>
    </w:tbl>
    <w:bookmarkStart w:id="93" w:name="household-tool-dap"/>
    <w:p>
      <w:pPr>
        <w:pStyle w:val="Heading2"/>
      </w:pPr>
      <w:r>
        <w:t xml:space="preserve">7.1 Household Tool DAP</w:t>
      </w:r>
    </w:p>
    <w:p>
      <w:pPr>
        <w:pStyle w:val="FirstParagraph"/>
      </w:pPr>
      <w:r>
        <w:rPr>
          <w:b/>
          <w:bCs/>
        </w:rPr>
        <w:t xml:space="preserve">Table 11. Household Tool DAP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04"/>
        <w:gridCol w:w="1404"/>
        <w:gridCol w:w="936"/>
        <w:gridCol w:w="2340"/>
        <w:gridCol w:w="2340"/>
        <w:gridCol w:w="936"/>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Research 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Indicator Name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Disaggregation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Responses</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Data Collection Level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people are dying of any cause per 10,000 people per day during the recall period?</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Crude Mortality Rate (deaths per 10,000 per day)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Reported  Cause of Death, Reported Location of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anyone in your household passed away on or after the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people in your household have DIED on or after the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Age (years):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know the day, month, and year of birth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**date of birth** for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exact date not known, please estimate at least the **month-year** of birth as best as possible using the local events calendar.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 dead person present in the household on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know the dead person's **date of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**EXACT** date of death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exact date unknown, estimate the **month-year** of death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was the main cause of death for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Acute disease (malaria, fever, COVID-19, measles, cholera, diarrhoea,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Chronic disease (cancer, heart disease, diabetes, stroke,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Intentional violence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Accident/trauma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Post-partum (0-42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pregnancy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delivery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 how died?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Where did the dead person pass away?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Current location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Health facility at current location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migraton or displacement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At last place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Health facility at last place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your own words, can you provide any other details about the circumstances of the dead person's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proportion of the population has had a health care need and needed to access health services in the past two weeks?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population with health needs in the previous two weeks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The following questions are for the ${health_ind_sex} with age in years:  ${health_ind_age_years}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Read note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the individual had any illness or health problem in the last two weeks and needed to access health care?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symptoms did the individual have?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Fever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Diarrhoea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Cough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Fast and difficulty breathing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Eye infection or red 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Skin infection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Ear infection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Rash with raised bumps on the head, neck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was the individual able to obtain health care when he / she felt they needed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the individual ever received oral cholera vaccination?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from maternal recall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from vaccination card /record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the child ever received measles vaccination?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from maternal recall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from vaccination card /record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the child received Vitamin A supplementation in last 6 months?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sufficient is the diversity of food groups being consumed by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Household Dietary Diversity Score (HDDS)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Food Sources,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Cereals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Roots or Tubers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Pulses or Legumes or Nuts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Vegetable or Leaves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Fruits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Meat or Poultry or Offal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Fish or Seafood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Milk or Dairy products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Eggs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Sugar or Sugar products or Honey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Oil or Fats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Condiments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past 4 weeks (30 days), was there ever no food to eat of any kind in your house because of lack of resources to get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often did this happen in the past [4 weeks/30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(3-7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(more than 10 times)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past 4 weeks (30 days), did you or any household member go to sleep at night hungry because there was not enough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often did this happen in the past [4 weeks/30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(3-7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(more than 10 times)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past 4 weeks (30 days), did you or any household member go a whole day and night without eating anything at all because there was not enough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often did this happen in the past [4 weeks/30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(3-7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(more than 10 times)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food sources used by the community?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Main Sources of Food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First source: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Own crop/garden production,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Market (Purchase cash or credit)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Borrowing/debts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Support from neighbors/relatives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Exchange of food for labor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Bartering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Hunting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Fishing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Gathering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Humanitarian food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Second source: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Own crop/garden production,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Market (Purchase cash or credit)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Borrowing/debts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Support from neighbors/relatives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Exchange of food for labor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Bartering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Hunting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Fishing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Gathering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Humanitarian food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Third source: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Own crop/garden production,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Market (Purchase cash or credit)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Borrowing/debts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Support from neighbors/relatives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Exchange of food for labor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Bartering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Hunting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Fishing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Gathering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Humanitarian food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for househods in accessing sufficient quantity and diversity of food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Barriers to Food Access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Food Sources,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7 days, did you face any barriers to consistently accessing food 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barrier faced accessing food sources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Live too far from food sources/no means of transport.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Transportation to food source too expensive.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enough food is available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Damage to main source of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Security issues travelling to and from food sources.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allowed to access main food sources (cultural, social, etc. reasons)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water source does your household use for food preparations in the past 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dwelling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compound, yard or plot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to neighbour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Public tap/standpipe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Borehole or tubewell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Rainwater collection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Tanker-truck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Cart with small tank / drum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kiosk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Bottled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Sachet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Surface water (river, dam, lake, pond, stream, canal, irrigation channel)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degraded are household livelihood coping capacities?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Livelihoods Coping Strategies Index (LCSI)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Stress question 1: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Stress question 2: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Stress question 3: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Stress question 4: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Crisis question 1: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Crisis question 2: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Crisis question 3: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Emergency question 1: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Emergency question 2: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Emergency question 3: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Are you or any member of your household registered for general food distribution/cash/voucher programming?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Have you or any member of your household received for general food distribution/cash/voucher programming during the last distribution?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please select what you received in the last 2 weeks?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Food In-Kind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Food vouchers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Livelihoods (inputs) voucher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Multi Purpose Cash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Cash for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Cash for livelihoods (inputs, assets,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sources for water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Main Source of Water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main source of water used by your household for drinking or other household uses?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dwelling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compound, yard or plot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to neighbour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Public tap/standpipe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Borehole or tubewell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Rainwater collection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Tanker-truck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Cart with small tank / drum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kiosk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Bottled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Sachet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Surface water (river, dam, lake, pond, stream, canal, irrigation channel)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do you use water from ${wash_water_source} for?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See choices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liters of water for all purposes per person per day are used by households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Median liters of all purpose water per person per day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Water Source, 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there anyone in the house who is responsible for collecting water and can help answer the next questions on household water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Read note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type of container number ${container_position}?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Bucket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Rigid Jerry Can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Collapsible Jerry Can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Jug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specify the size in liters of the container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Number of times was this container filled YESTERDAY (or the last time water was collected):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in the last week have you collected water using this container?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proportion of households have soap in the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Soap Ownership (%)</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have soap in the home (ask to see soap, to see if it appears in a minute)?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soap in the house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AND they brought the soap within 1 minute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but DON'T see soap within 1 minute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sufficient is the availability of water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Household Water Insecurity Experiences Scale (HWISE)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Water Source, 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4 weeks, how frequently did you or anyone in your household worry you would not have enough water for all of your household needs?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Never (0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(3-10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(11-20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Always (more than 20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4 weeks, how frequently have you or anyone in your household had to change schedules or plans due to problems with your water situation? (Activities that may have been interrupted include caring for others, doing household chores, agricultural work, income-generating activities, sleeping,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Never (0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(3-10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(11-20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Always (more than 20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4 weeks, how frequently have you or anyone in your household had to go without washing hands after dirty activities (e.g., defecating or changing diapers, cleaning animal dung) because of problems with water?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Never (0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(3-10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(11-20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Always (more than 20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4 weeks, how frequently has there not been as much water to drink as you would like for you or anyone in your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Never (0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(3-10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(11-20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Always (more than 20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shelter types used by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Shelter Type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type of shelter do you live in?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Solid / finished house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Solid / finished apartment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Unfinished / non-enclosed building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Makeshift shelter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 (sleeping in open)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issues with shelters that may impact the population's ability to perform basic household tasks?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Cooking Issues in the Shelter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Food Sources,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Are members of your household able to cook where you live?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without any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can't do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explain why you can't cook / the issues you face for cooking?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essential household items for cooking (utensils, kitchen sets, eating sets)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access to cooking facilities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Unsafe cooking facilities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Inadequate space for cooking (leaks during rain)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space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cooking fuel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Are members of your household able to store food and water where you live?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without any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can't do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explain why you can't sleep / the issues you face for storing food and water?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containers/damaged containers to store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containers/damaged containers to store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space to store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space to store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Can’t store food safely / it goes bad easily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prevalence of acute malnutrition amongst children 6-59 months of 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Global Acute Malnutrition by MUAC for Children 6-59 months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Months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The following questions are for the ${child_relationship} with age in months:  ${child_age_months} and sex: ${child_sex}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Read note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 child present?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but the child is disabled / cannot be measured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take the MUAC of the child in CM: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Does the child have bilateral oedema, that is swelling with pitting oedema in both feet?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confirm with the team leader. Does the child have bilateral oedema?</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take a picture of the bilateral pitting oedema. Make sure to clearly include: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Both feet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Both impressions from the edema test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Take image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proxy coverage of nutrition therapeutic services for children 6-59 months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Acutely Malnourished Children Accessing Therapeutic Nutrition Services (%)</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Months, 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 child currently enrolled in a nutrition program?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in any program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Outpatient Therapeutic Feeding (OTP)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Supplementary Feeding (TSFP)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Inpatient care (Stabilization Centre)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food consumption patterns for children under two years of 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Children Under-2 by Main Food Groups Consumed the Previous Day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Months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 child breastfed yesterday during the day or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reasons behind not breastfeeding the child?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Mother has no milk to breastfeed child/ mother is stressed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Child is fed other breastmilk substitutes (infant formula)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Child is fed other milk (e.g. cow milk)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Cultural barriers / child is too old to breastmilk / boys should not breastfeed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Mother or/and child is sick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time to breastfeed child/ competing workload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information on importance of breastfeeding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Mother is pregnant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Influence from other household members e.g. father/ grandmother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Which foods did the child consume in the last 24 hours?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Breast Milk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Grains, roots, tubers and plantains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Pulses (beans, peas, lentils), nuts and seeds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Dairy products (milk, infant formula, yogurt, cheese)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Flesh foods (meat, fish, poultry, organ meats)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Eggs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vitamin-A rich fruits and vegetables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fruits and vegetables (non- Vitamin 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challenges that your household face with the complementary feeding of the child?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money/ financial barriers to buy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High food prices/ food is expensive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adequate information on IYCF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Child is sick/ low appetite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Poor hygienic practices/ lack of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time to prepare foods for child/ household chores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time to care for child/ competing workload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information on importance of complementary feeding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 I would like to ask you some questions about your experiences in feeding solid or semi-solid food to [NAME OF CHILD IN ID01]. During the last 7 days (week), was there a time when: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Read note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You (the parent or caregiver) were worried that the child would not have enough food to eat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Still thinking about the last 7 days (week), was there a time when when the child was unable to eat nutritious and healthy foods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child ate fewer kinds of food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child skipped one or more meals in the day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Still thinking about the last 7 days (week), was there a time when your child eat less food than you (the parent or caregiver) thought the child should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household ran out of food for the child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child was hungry but did not eat food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child did not eat food for a whole day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prevalence of acute malnutrition amongst pregnant and lactating women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Global Acute Malnutrition by MUAC for Pregnant and Lactating Women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Pregnancy and Lactation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 woman present?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MUAC for the woman in CM?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proxy coverage of nutrition preventive services for pregnant and lactating women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Acutely Malnourished Pregnant or Lactating Women Accessing Preventive Nutrition Services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Years, 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 woman currently enrolled in a nutrition program?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the pregnant or breastfeeding woman receive blanket supplementary feeding distribution in the last 2 weeks [Change depending on context]?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bl>
    <w:bookmarkEnd w:id="93"/>
    <w:bookmarkStart w:id="94" w:name="community-key-informant-dap"/>
    <w:p>
      <w:pPr>
        <w:pStyle w:val="Heading2"/>
      </w:pPr>
      <w:r>
        <w:t xml:space="preserve">7.2 Community Key Informant DAP</w:t>
      </w:r>
    </w:p>
    <w:p>
      <w:pPr>
        <w:pStyle w:val="FirstParagraph"/>
      </w:pPr>
      <w:r>
        <w:rPr>
          <w:b/>
          <w:bCs/>
        </w:rPr>
        <w:t xml:space="preserve">Table 12. Community Key Informant DAP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04"/>
        <w:gridCol w:w="1404"/>
        <w:gridCol w:w="936"/>
        <w:gridCol w:w="2340"/>
        <w:gridCol w:w="2340"/>
        <w:gridCol w:w="936"/>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Research 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Indicator Name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Disaggregation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Responses</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Data Collection Level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most serious problems in the community as reported by community informants?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community informants reporting a serious problem being able to keep clean and hygienic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 Type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Q2.5 (Keeping Clean)  For men: Do people have a serious problem because in your community it is difficult for people to keep clean? For example, because people do not have enough soap, water or a suitable place to wash.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For women: Do people have a serious problem because in your community it is difficult to keep clean? For example, because people do not have enough soap, sanitary materials, water or a suitable place to wash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describe the problem? Who has the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preventing the community from being able to keep clean?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Q2.7 (Income or Livelihoods)  Do people have a serious problem because they do not have enough income, money or resources to live?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describe the problem? Who has the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preventing people in the community from having enough income, money or resources to live?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Q2.8 (Physical Health) Do people have a serious problem with their physical health? For example, because you have a physical illness, injury or disability.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describe the problem? Who has the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causes of peoples’ issues with their physical health?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Q2.11 (The way aid is delivered) Do you have a serious problem because of inadequate aid? For example, because you do not have fair access to the aid that is available, or because aid agencies are working on their own without involvement from people in your community?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describe the problem? Who has the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preventing people in the community from having enough income, money or resources to live?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Q3.1 (Distress) Do people in the community have serious problems because they feel very distressed? For example, very upset, sad, worried, scared, or angry?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please describe the problem? Who has this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causes of this distress for people?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Q3.13 (Mental illness in your community) Is there a serious problem in your community because people have a mental illness?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please describe the problem? Who has this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reasons for this problem in the community?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Key Informant</w:t>
            </w:r>
          </w:p>
        </w:tc>
      </w:tr>
    </w:tbl>
    <w:p>
      <w:r>
        <w:br w:type="page"/>
      </w:r>
    </w:p>
    <w:bookmarkEnd w:id="94"/>
    <w:bookmarkEnd w:id="95"/>
    <w:bookmarkStart w:id="102" w:name="references"/>
    <w:p>
      <w:pPr>
        <w:pStyle w:val="Heading1"/>
      </w:pPr>
      <w:r>
        <w:t xml:space="preserve">8. References</w:t>
      </w:r>
    </w:p>
    <w:bookmarkStart w:id="101" w:name="refs"/>
    <w:bookmarkStart w:id="96" w:name="ref-CEDAT2010"/>
    <w:p>
      <w:pPr>
        <w:pStyle w:val="Bibliography"/>
      </w:pPr>
      <w:r>
        <w:t xml:space="preserve">1.</w:t>
      </w:r>
      <w:r>
        <w:t xml:space="preserve"> </w:t>
      </w:r>
      <w:r>
        <w:t xml:space="preserve">	</w:t>
      </w:r>
      <w:r>
        <w:t xml:space="preserve">Oleg Bilukha, Alessandro Colombo, Richard Garfield, Colleen Mone Hardy, Jon Pederson, Paul Spiegel, Michel Van Herlp. CE-DAT completeness checklist guidelines. Geneva, Switzerland: Centre for Research on the Epidemiology of Disasters (CRED);Comples Emergency Database (CE-DAT);Universite catholique de Louvain - School of Public Health; 2010.</w:t>
      </w:r>
    </w:p>
    <w:bookmarkEnd w:id="96"/>
    <w:bookmarkStart w:id="97" w:name="ref-iphra2026"/>
    <w:p>
      <w:pPr>
        <w:pStyle w:val="Bibliography"/>
      </w:pPr>
      <w:r>
        <w:t xml:space="preserve">2.</w:t>
      </w:r>
      <w:r>
        <w:t xml:space="preserve"> </w:t>
      </w:r>
      <w:r>
        <w:t xml:space="preserve">	</w:t>
      </w:r>
      <w:r>
        <w:t xml:space="preserve">IMPACT Initiatives. Integrated public health rapid assessment (IPHRA) guidelines. Geneva, Switzerland: IMPACT Initiatives; 2026.</w:t>
      </w:r>
    </w:p>
    <w:bookmarkEnd w:id="97"/>
    <w:bookmarkStart w:id="98" w:name="ref-ANF2025"/>
    <w:p>
      <w:pPr>
        <w:pStyle w:val="Bibliography"/>
      </w:pPr>
      <w:r>
        <w:t xml:space="preserve">3.</w:t>
      </w:r>
      <w:r>
        <w:t xml:space="preserve"> </w:t>
      </w:r>
      <w:r>
        <w:t xml:space="preserve">	</w:t>
      </w:r>
      <w:r>
        <w:t xml:space="preserve">IMPACT Initiatives. The acute needs framework. Geneva, Switzerland: IMPACT Initiatives; 2026.</w:t>
      </w:r>
    </w:p>
    <w:bookmarkEnd w:id="98"/>
    <w:bookmarkStart w:id="100" w:name="ref-pfa2018"/>
    <w:p>
      <w:pPr>
        <w:pStyle w:val="Bibliography"/>
      </w:pPr>
      <w:r>
        <w:t xml:space="preserve">4.</w:t>
      </w:r>
      <w:r>
        <w:t xml:space="preserve"> </w:t>
      </w:r>
      <w:r>
        <w:t xml:space="preserve">	</w:t>
      </w:r>
      <w:r>
        <w:t xml:space="preserve">Pernille Hansen. A guide to psychosocial first aid: For red cross and red crescent societies [Internet]. Copenhagen, Denmark: International Federation of Red Cross; Red Crescent Societies; 2018. Available from:</w:t>
      </w:r>
      <w:r>
        <w:t xml:space="preserve"> </w:t>
      </w:r>
      <w:hyperlink r:id="rId99">
        <w:r>
          <w:rPr>
            <w:rStyle w:val="Hyperlink"/>
          </w:rPr>
          <w:t xml:space="preserve">https://mhpsshub.org/wp-content/uploads/2019/05/PFA-Guide-low-res.pdf</w:t>
        </w:r>
      </w:hyperlink>
    </w:p>
    <w:bookmarkEnd w:id="100"/>
    <w:bookmarkEnd w:id="101"/>
    <w:bookmarkEnd w:id="102"/>
    <w:sectPr w:rsidR="00C37C0C" w:rsidRPr="00C37C0C" w:rsidSect="00420EF7">
      <w:headerReference r:id="rId10" w:type="even"/>
      <w:headerReference r:id="rId9" w:type="default"/>
      <w:footerReference r:id="rId12" w:type="default"/>
      <w:headerReference r:id="rId11" w:type="first"/>
      <w:footerReference r:id="rId13" w:type="first"/>
      <w:type w:val="continuous"/>
      <w:pgSz w:h="16838" w:w="11906"/>
      <w:pgMar w:bottom="1417" w:footer="552" w:gutter="0" w:header="720" w:left="1134" w:right="991" w:top="993"/>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C3DD"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BE8B163" w14:textId="77777777" w:rsidTr="006D5060">
      <w:trPr>
        <w:trHeight w:val="236"/>
      </w:trPr>
      <w:tc>
        <w:tcPr>
          <w:tcW w:w="4869" w:type="dxa"/>
          <w:vAlign w:val="center"/>
        </w:tcPr>
        <w:p w14:paraId="1ABB7209" w14:textId="5791C292" w:rsidR="002F23CA" w:rsidRPr="008D4774" w:rsidRDefault="002F23CA" w:rsidP="00E340C7">
          <w:pPr>
            <w:pStyle w:val="Footer"/>
          </w:pPr>
          <w:r w:rsidRPr="006D5060">
            <w:t>www.reach-initiative.org</w:t>
          </w:r>
        </w:p>
      </w:tc>
      <w:tc>
        <w:tcPr>
          <w:tcW w:w="4866" w:type="dxa"/>
          <w:vAlign w:val="center"/>
        </w:tcPr>
        <w:p w14:paraId="40118A05" w14:textId="25D2A32C"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512ADC94" w14:textId="773C42B2"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132F9E8F" w14:textId="77777777" w:rsidTr="00621857">
      <w:trPr>
        <w:trHeight w:val="236"/>
      </w:trPr>
      <w:tc>
        <w:tcPr>
          <w:tcW w:w="4869" w:type="dxa"/>
          <w:vAlign w:val="center"/>
        </w:tcPr>
        <w:p w14:paraId="64E6CEAE" w14:textId="77777777" w:rsidR="002F23CA" w:rsidRPr="008D4774" w:rsidRDefault="002F23CA" w:rsidP="00E340C7">
          <w:pPr>
            <w:pStyle w:val="Footer"/>
          </w:pPr>
          <w:r w:rsidRPr="006D5060">
            <w:t>www.reach-initiative.org</w:t>
          </w:r>
        </w:p>
      </w:tc>
      <w:tc>
        <w:tcPr>
          <w:tcW w:w="4866" w:type="dxa"/>
          <w:vAlign w:val="center"/>
        </w:tcPr>
        <w:p w14:paraId="0593D3C3" w14:textId="6736B1FA"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142D2BF7" w14:textId="04038558" w:rsidR="002F23CA" w:rsidRPr="006D5060" w:rsidRDefault="002F23CA" w:rsidP="00E340C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14B"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0155" w14:textId="3AC9FD71"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D427"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287133"/>
    <w:multiLevelType w:val="hybridMultilevel"/>
    <w:tmpl w:val="24A08F52"/>
    <w:lvl w:ilvl="0" w:tplc="14A414EE">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
    <w:nsid w:val="025A73C5"/>
    <w:multiLevelType w:val="hybridMultilevel"/>
    <w:tmpl w:val="0CC092EA"/>
    <w:lvl w:ilvl="0" w:tplc="20000001">
      <w:start w:val="1"/>
      <w:numFmt w:val="bullet"/>
      <w:lvlText w:val=""/>
      <w:lvlJc w:val="left"/>
      <w:pPr>
        <w:ind w:hanging="360" w:left="774"/>
      </w:pPr>
      <w:rPr>
        <w:rFonts w:ascii="Symbol" w:hAnsi="Symbol" w:hint="default"/>
      </w:rPr>
    </w:lvl>
    <w:lvl w:ilvl="1" w:tentative="1" w:tplc="20000003">
      <w:start w:val="1"/>
      <w:numFmt w:val="bullet"/>
      <w:lvlText w:val="o"/>
      <w:lvlJc w:val="left"/>
      <w:pPr>
        <w:ind w:hanging="360" w:left="1494"/>
      </w:pPr>
      <w:rPr>
        <w:rFonts w:ascii="Courier New" w:cs="Courier New" w:hAnsi="Courier New" w:hint="default"/>
      </w:rPr>
    </w:lvl>
    <w:lvl w:ilvl="2" w:tentative="1" w:tplc="20000005">
      <w:start w:val="1"/>
      <w:numFmt w:val="bullet"/>
      <w:lvlText w:val=""/>
      <w:lvlJc w:val="left"/>
      <w:pPr>
        <w:ind w:hanging="360" w:left="2214"/>
      </w:pPr>
      <w:rPr>
        <w:rFonts w:ascii="Wingdings" w:hAnsi="Wingdings" w:hint="default"/>
      </w:rPr>
    </w:lvl>
    <w:lvl w:ilvl="3" w:tentative="1" w:tplc="20000001">
      <w:start w:val="1"/>
      <w:numFmt w:val="bullet"/>
      <w:lvlText w:val=""/>
      <w:lvlJc w:val="left"/>
      <w:pPr>
        <w:ind w:hanging="360" w:left="2934"/>
      </w:pPr>
      <w:rPr>
        <w:rFonts w:ascii="Symbol" w:hAnsi="Symbol" w:hint="default"/>
      </w:rPr>
    </w:lvl>
    <w:lvl w:ilvl="4" w:tentative="1" w:tplc="20000003">
      <w:start w:val="1"/>
      <w:numFmt w:val="bullet"/>
      <w:lvlText w:val="o"/>
      <w:lvlJc w:val="left"/>
      <w:pPr>
        <w:ind w:hanging="360" w:left="3654"/>
      </w:pPr>
      <w:rPr>
        <w:rFonts w:ascii="Courier New" w:cs="Courier New" w:hAnsi="Courier New" w:hint="default"/>
      </w:rPr>
    </w:lvl>
    <w:lvl w:ilvl="5" w:tentative="1" w:tplc="20000005">
      <w:start w:val="1"/>
      <w:numFmt w:val="bullet"/>
      <w:lvlText w:val=""/>
      <w:lvlJc w:val="left"/>
      <w:pPr>
        <w:ind w:hanging="360" w:left="4374"/>
      </w:pPr>
      <w:rPr>
        <w:rFonts w:ascii="Wingdings" w:hAnsi="Wingdings" w:hint="default"/>
      </w:rPr>
    </w:lvl>
    <w:lvl w:ilvl="6" w:tentative="1" w:tplc="20000001">
      <w:start w:val="1"/>
      <w:numFmt w:val="bullet"/>
      <w:lvlText w:val=""/>
      <w:lvlJc w:val="left"/>
      <w:pPr>
        <w:ind w:hanging="360" w:left="5094"/>
      </w:pPr>
      <w:rPr>
        <w:rFonts w:ascii="Symbol" w:hAnsi="Symbol" w:hint="default"/>
      </w:rPr>
    </w:lvl>
    <w:lvl w:ilvl="7" w:tentative="1" w:tplc="20000003">
      <w:start w:val="1"/>
      <w:numFmt w:val="bullet"/>
      <w:lvlText w:val="o"/>
      <w:lvlJc w:val="left"/>
      <w:pPr>
        <w:ind w:hanging="360" w:left="5814"/>
      </w:pPr>
      <w:rPr>
        <w:rFonts w:ascii="Courier New" w:cs="Courier New" w:hAnsi="Courier New" w:hint="default"/>
      </w:rPr>
    </w:lvl>
    <w:lvl w:ilvl="8" w:tentative="1" w:tplc="20000005">
      <w:start w:val="1"/>
      <w:numFmt w:val="bullet"/>
      <w:lvlText w:val=""/>
      <w:lvlJc w:val="left"/>
      <w:pPr>
        <w:ind w:hanging="360" w:left="6534"/>
      </w:pPr>
      <w:rPr>
        <w:rFonts w:ascii="Wingdings" w:hAnsi="Wingdings" w:hint="default"/>
      </w:rPr>
    </w:lvl>
  </w:abstractNum>
  <w:abstractNum w15:restartNumberingAfterBreak="0" w:abstractNumId="2">
    <w:nsid w:val="099F4204"/>
    <w:multiLevelType w:val="hybridMultilevel"/>
    <w:tmpl w:val="9AFC23DC"/>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B712A9A"/>
    <w:multiLevelType w:val="multilevel"/>
    <w:tmpl w:val="EE5A840A"/>
    <w:lvl w:ilvl="0">
      <w:start w:val="2"/>
      <w:numFmt w:val="decimal"/>
      <w:lvlText w:val="%1"/>
      <w:lvlJc w:val="left"/>
      <w:pPr>
        <w:ind w:hanging="360" w:left="360"/>
      </w:pPr>
      <w:rPr>
        <w:rFonts w:cstheme="majorBidi" w:eastAsiaTheme="majorEastAsia" w:hint="default"/>
        <w:b/>
        <w:sz w:val="32"/>
        <w:szCs w:val="32"/>
      </w:rPr>
    </w:lvl>
    <w:lvl w:ilvl="1">
      <w:start w:val="1"/>
      <w:numFmt w:val="decimal"/>
      <w:lvlText w:val="%1.%2"/>
      <w:lvlJc w:val="left"/>
      <w:pPr>
        <w:ind w:hanging="360" w:left="360"/>
      </w:pPr>
      <w:rPr>
        <w:rFonts w:cstheme="majorBidi" w:eastAsiaTheme="majorEastAsia" w:hint="default"/>
        <w:b/>
        <w:sz w:val="24"/>
      </w:rPr>
    </w:lvl>
    <w:lvl w:ilvl="2">
      <w:start w:val="1"/>
      <w:numFmt w:val="decimal"/>
      <w:lvlText w:val="%1.%2.%3"/>
      <w:lvlJc w:val="left"/>
      <w:pPr>
        <w:ind w:hanging="720" w:left="720"/>
      </w:pPr>
      <w:rPr>
        <w:rFonts w:cstheme="majorBidi" w:eastAsiaTheme="majorEastAsia" w:hint="default"/>
        <w:b/>
        <w:sz w:val="24"/>
      </w:rPr>
    </w:lvl>
    <w:lvl w:ilvl="3">
      <w:start w:val="1"/>
      <w:numFmt w:val="decimal"/>
      <w:lvlText w:val="%1.%2.%3.%4"/>
      <w:lvlJc w:val="left"/>
      <w:pPr>
        <w:ind w:hanging="720" w:left="720"/>
      </w:pPr>
      <w:rPr>
        <w:rFonts w:cstheme="majorBidi" w:eastAsiaTheme="majorEastAsia" w:hint="default"/>
        <w:b/>
        <w:sz w:val="24"/>
      </w:rPr>
    </w:lvl>
    <w:lvl w:ilvl="4">
      <w:start w:val="1"/>
      <w:numFmt w:val="decimal"/>
      <w:lvlText w:val="%1.%2.%3.%4.%5"/>
      <w:lvlJc w:val="left"/>
      <w:pPr>
        <w:ind w:hanging="720" w:left="720"/>
      </w:pPr>
      <w:rPr>
        <w:rFonts w:cstheme="majorBidi" w:eastAsiaTheme="majorEastAsia" w:hint="default"/>
        <w:b/>
        <w:sz w:val="24"/>
      </w:rPr>
    </w:lvl>
    <w:lvl w:ilvl="5">
      <w:start w:val="1"/>
      <w:numFmt w:val="decimal"/>
      <w:lvlText w:val="%1.%2.%3.%4.%5.%6"/>
      <w:lvlJc w:val="left"/>
      <w:pPr>
        <w:ind w:hanging="1080" w:left="1080"/>
      </w:pPr>
      <w:rPr>
        <w:rFonts w:cstheme="majorBidi" w:eastAsiaTheme="majorEastAsia" w:hint="default"/>
        <w:b/>
        <w:sz w:val="24"/>
      </w:rPr>
    </w:lvl>
    <w:lvl w:ilvl="6">
      <w:start w:val="1"/>
      <w:numFmt w:val="decimal"/>
      <w:lvlText w:val="%1.%2.%3.%4.%5.%6.%7"/>
      <w:lvlJc w:val="left"/>
      <w:pPr>
        <w:ind w:hanging="1080" w:left="1080"/>
      </w:pPr>
      <w:rPr>
        <w:rFonts w:cstheme="majorBidi" w:eastAsiaTheme="majorEastAsia" w:hint="default"/>
        <w:b/>
        <w:sz w:val="24"/>
      </w:rPr>
    </w:lvl>
    <w:lvl w:ilvl="7">
      <w:start w:val="1"/>
      <w:numFmt w:val="decimal"/>
      <w:lvlText w:val="%1.%2.%3.%4.%5.%6.%7.%8"/>
      <w:lvlJc w:val="left"/>
      <w:pPr>
        <w:ind w:hanging="1440" w:left="1440"/>
      </w:pPr>
      <w:rPr>
        <w:rFonts w:cstheme="majorBidi" w:eastAsiaTheme="majorEastAsia" w:hint="default"/>
        <w:b/>
        <w:sz w:val="24"/>
      </w:rPr>
    </w:lvl>
    <w:lvl w:ilvl="8">
      <w:start w:val="1"/>
      <w:numFmt w:val="decimal"/>
      <w:lvlText w:val="%1.%2.%3.%4.%5.%6.%7.%8.%9"/>
      <w:lvlJc w:val="left"/>
      <w:pPr>
        <w:ind w:hanging="1440" w:left="1440"/>
      </w:pPr>
      <w:rPr>
        <w:rFonts w:cstheme="majorBidi" w:eastAsiaTheme="majorEastAsia" w:hint="default"/>
        <w:b/>
        <w:sz w:val="24"/>
      </w:rPr>
    </w:lvl>
  </w:abstractNum>
  <w:abstractNum w15:restartNumberingAfterBreak="0" w:abstractNumId="4">
    <w:nsid w:val="0BB3041A"/>
    <w:multiLevelType w:val="hybridMultilevel"/>
    <w:tmpl w:val="3D369C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5">
    <w:nsid w:val="0FDB6E27"/>
    <w:multiLevelType w:val="hybridMultilevel"/>
    <w:tmpl w:val="2BA4BD1C"/>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13183BA7"/>
    <w:multiLevelType w:val="hybridMultilevel"/>
    <w:tmpl w:val="B21A134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7">
    <w:nsid w:val="17AB32EA"/>
    <w:multiLevelType w:val="hybridMultilevel"/>
    <w:tmpl w:val="B854DE4C"/>
    <w:lvl w:ilvl="0" w:tplc="B4C20C82">
      <w:start w:val="1"/>
      <w:numFmt w:val="bullet"/>
      <w:lvlText w:val=""/>
      <w:lvlJc w:val="left"/>
      <w:pPr>
        <w:ind w:hanging="360" w:left="720"/>
      </w:pPr>
      <w:rPr>
        <w:rFonts w:ascii="Symbol" w:hAnsi="Symbol" w:hint="default"/>
        <w:sz w:val="14"/>
        <w:szCs w:val="14"/>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8">
    <w:nsid w:val="183847E0"/>
    <w:multiLevelType w:val="hybridMultilevel"/>
    <w:tmpl w:val="C0A06436"/>
    <w:lvl w:ilvl="0" w:tplc="100C0003">
      <w:start w:val="1"/>
      <w:numFmt w:val="bullet"/>
      <w:lvlText w:val="o"/>
      <w:lvlJc w:val="left"/>
      <w:pPr>
        <w:ind w:hanging="360" w:left="720"/>
      </w:pPr>
      <w:rPr>
        <w:rFonts w:ascii="Courier New" w:cs="Courier New" w:hAnsi="Courier New" w:hint="default"/>
      </w:rPr>
    </w:lvl>
    <w:lvl w:ilvl="1" w:tplc="100C0001">
      <w:start w:val="1"/>
      <w:numFmt w:val="bullet"/>
      <w:lvlText w:val=""/>
      <w:lvlJc w:val="left"/>
      <w:pPr>
        <w:ind w:hanging="360" w:left="1440"/>
      </w:pPr>
      <w:rPr>
        <w:rFonts w:ascii="Symbol" w:hAnsi="Symbol" w:hint="default"/>
      </w:rPr>
    </w:lvl>
    <w:lvl w:ilvl="2"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8FF1F81"/>
    <w:multiLevelType w:val="hybridMultilevel"/>
    <w:tmpl w:val="550C1B08"/>
    <w:lvl w:ilvl="0" w:tplc="816C9E02">
      <w:start w:val="3"/>
      <w:numFmt w:val="bullet"/>
      <w:lvlText w:val="-"/>
      <w:lvlJc w:val="left"/>
      <w:pPr>
        <w:ind w:hanging="360" w:left="720"/>
      </w:pPr>
      <w:rPr>
        <w:rFonts w:ascii="Arial Narrow" w:cs="Arial" w:eastAsia="Cambria" w:hAnsi="Arial Narrow"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0">
    <w:nsid w:val="1AC1188D"/>
    <w:multiLevelType w:val="hybridMultilevel"/>
    <w:tmpl w:val="332A3378"/>
    <w:lvl w:ilvl="0" w:tplc="2000000F">
      <w:start w:val="1"/>
      <w:numFmt w:val="decimal"/>
      <w:lvlText w:val="%1."/>
      <w:lvlJc w:val="left"/>
      <w:pPr>
        <w:ind w:hanging="360" w:left="720"/>
      </w:p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11">
    <w:nsid w:val="1AD339C3"/>
    <w:multiLevelType w:val="hybridMultilevel"/>
    <w:tmpl w:val="7ACEB50A"/>
    <w:lvl w:ilvl="0" w:tplc="100C0001">
      <w:start w:val="1"/>
      <w:numFmt w:val="bullet"/>
      <w:lvlText w:val=""/>
      <w:lvlJc w:val="left"/>
      <w:pPr>
        <w:ind w:hanging="360" w:left="1080"/>
      </w:pPr>
      <w:rPr>
        <w:rFonts w:ascii="Symbol" w:hAnsi="Symbol" w:hint="default"/>
      </w:rPr>
    </w:lvl>
    <w:lvl w:ilvl="1" w:tplc="100C0001">
      <w:start w:val="1"/>
      <w:numFmt w:val="bullet"/>
      <w:lvlText w:val=""/>
      <w:lvlJc w:val="left"/>
      <w:pPr>
        <w:ind w:hanging="360" w:left="1800"/>
      </w:pPr>
      <w:rPr>
        <w:rFonts w:ascii="Symbol" w:hAnsi="Symbol" w:hint="default"/>
      </w:rPr>
    </w:lvl>
    <w:lvl w:ilvl="2"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12">
    <w:nsid w:val="1D475986"/>
    <w:multiLevelType w:val="hybridMultilevel"/>
    <w:tmpl w:val="163C53BC"/>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13">
    <w:nsid w:val="1E892020"/>
    <w:multiLevelType w:val="hybridMultilevel"/>
    <w:tmpl w:val="B9C0846A"/>
    <w:lvl w:ilvl="0" w:tplc="6AF831E6">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4">
    <w:nsid w:val="22042B2C"/>
    <w:multiLevelType w:val="hybridMultilevel"/>
    <w:tmpl w:val="D6A63F7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5">
    <w:nsid w:val="241A338A"/>
    <w:multiLevelType w:val="hybridMultilevel"/>
    <w:tmpl w:val="5066B1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6">
    <w:nsid w:val="27942426"/>
    <w:multiLevelType w:val="hybridMultilevel"/>
    <w:tmpl w:val="F5627380"/>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80C00F6"/>
    <w:multiLevelType w:val="hybridMultilevel"/>
    <w:tmpl w:val="F3E8BFB6"/>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8">
    <w:nsid w:val="2A6E0B0A"/>
    <w:multiLevelType w:val="hybridMultilevel"/>
    <w:tmpl w:val="90DE00E0"/>
    <w:lvl w:ilvl="0" w:tplc="CB5ADB38">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9">
    <w:nsid w:val="2C4B0635"/>
    <w:multiLevelType w:val="hybridMultilevel"/>
    <w:tmpl w:val="44A28FF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0">
    <w:nsid w:val="30043632"/>
    <w:multiLevelType w:val="hybridMultilevel"/>
    <w:tmpl w:val="96969A80"/>
    <w:lvl w:ilvl="0" w:tplc="354ACE1C">
      <w:numFmt w:val="bullet"/>
      <w:lvlText w:val="-"/>
      <w:lvlJc w:val="left"/>
      <w:pPr>
        <w:ind w:hanging="360" w:left="720"/>
      </w:pPr>
      <w:rPr>
        <w:rFonts w:ascii="Arial Narrow" w:cs="Arial" w:eastAsia="Cambria" w:hAnsi="Arial Narro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36476D8E"/>
    <w:multiLevelType w:val="hybridMultilevel"/>
    <w:tmpl w:val="DA1ABE52"/>
    <w:lvl w:ilvl="0" w:tplc="20000011">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2">
    <w:nsid w:val="38CB7CE9"/>
    <w:multiLevelType w:val="hybridMultilevel"/>
    <w:tmpl w:val="7568B224"/>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3">
    <w:nsid w:val="3BE6151C"/>
    <w:multiLevelType w:val="hybridMultilevel"/>
    <w:tmpl w:val="0F0C965C"/>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418C5E37"/>
    <w:multiLevelType w:val="hybridMultilevel"/>
    <w:tmpl w:val="449A1C1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5">
    <w:nsid w:val="43D61FFE"/>
    <w:multiLevelType w:val="hybridMultilevel"/>
    <w:tmpl w:val="EBA82138"/>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6">
    <w:nsid w:val="43DA3484"/>
    <w:multiLevelType w:val="multilevel"/>
    <w:tmpl w:val="BC6AAE9E"/>
    <w:lvl w:ilvl="0">
      <w:start w:val="3"/>
      <w:numFmt w:val="decimal"/>
      <w:lvlText w:val="%1"/>
      <w:lvlJc w:val="left"/>
      <w:pPr>
        <w:ind w:hanging="360" w:left="360"/>
      </w:pPr>
      <w:rPr>
        <w:rFonts w:cstheme="majorBidi" w:eastAsiaTheme="majorEastAsia" w:hint="default"/>
        <w:b/>
        <w:sz w:val="24"/>
      </w:rPr>
    </w:lvl>
    <w:lvl w:ilvl="1">
      <w:start w:val="1"/>
      <w:numFmt w:val="decimal"/>
      <w:lvlText w:val="%1.%2"/>
      <w:lvlJc w:val="left"/>
      <w:pPr>
        <w:ind w:hanging="360" w:left="720"/>
      </w:pPr>
      <w:rPr>
        <w:rFonts w:cstheme="majorBidi" w:eastAsiaTheme="majorEastAsia" w:hint="default"/>
        <w:b/>
        <w:color w:val="auto"/>
        <w:sz w:val="24"/>
      </w:rPr>
    </w:lvl>
    <w:lvl w:ilvl="2">
      <w:start w:val="1"/>
      <w:numFmt w:val="decimal"/>
      <w:lvlText w:val="%1.%2.%3"/>
      <w:lvlJc w:val="left"/>
      <w:pPr>
        <w:ind w:hanging="720" w:left="1440"/>
      </w:pPr>
      <w:rPr>
        <w:rFonts w:cstheme="majorBidi" w:eastAsiaTheme="majorEastAsia" w:hint="default"/>
        <w:b/>
        <w:sz w:val="24"/>
      </w:rPr>
    </w:lvl>
    <w:lvl w:ilvl="3">
      <w:start w:val="1"/>
      <w:numFmt w:val="decimal"/>
      <w:lvlText w:val="%1.%2.%3.%4"/>
      <w:lvlJc w:val="left"/>
      <w:pPr>
        <w:ind w:hanging="720" w:left="1800"/>
      </w:pPr>
      <w:rPr>
        <w:rFonts w:cstheme="majorBidi" w:eastAsiaTheme="majorEastAsia" w:hint="default"/>
        <w:b/>
        <w:sz w:val="24"/>
      </w:rPr>
    </w:lvl>
    <w:lvl w:ilvl="4">
      <w:start w:val="1"/>
      <w:numFmt w:val="decimal"/>
      <w:lvlText w:val="%1.%2.%3.%4.%5"/>
      <w:lvlJc w:val="left"/>
      <w:pPr>
        <w:ind w:hanging="720" w:left="2160"/>
      </w:pPr>
      <w:rPr>
        <w:rFonts w:cstheme="majorBidi" w:eastAsiaTheme="majorEastAsia" w:hint="default"/>
        <w:b/>
        <w:sz w:val="24"/>
      </w:rPr>
    </w:lvl>
    <w:lvl w:ilvl="5">
      <w:start w:val="1"/>
      <w:numFmt w:val="decimal"/>
      <w:lvlText w:val="%1.%2.%3.%4.%5.%6"/>
      <w:lvlJc w:val="left"/>
      <w:pPr>
        <w:ind w:hanging="1080" w:left="2880"/>
      </w:pPr>
      <w:rPr>
        <w:rFonts w:cstheme="majorBidi" w:eastAsiaTheme="majorEastAsia" w:hint="default"/>
        <w:b/>
        <w:sz w:val="24"/>
      </w:rPr>
    </w:lvl>
    <w:lvl w:ilvl="6">
      <w:start w:val="1"/>
      <w:numFmt w:val="decimal"/>
      <w:lvlText w:val="%1.%2.%3.%4.%5.%6.%7"/>
      <w:lvlJc w:val="left"/>
      <w:pPr>
        <w:ind w:hanging="1080" w:left="3240"/>
      </w:pPr>
      <w:rPr>
        <w:rFonts w:cstheme="majorBidi" w:eastAsiaTheme="majorEastAsia" w:hint="default"/>
        <w:b/>
        <w:sz w:val="24"/>
      </w:rPr>
    </w:lvl>
    <w:lvl w:ilvl="7">
      <w:start w:val="1"/>
      <w:numFmt w:val="decimal"/>
      <w:lvlText w:val="%1.%2.%3.%4.%5.%6.%7.%8"/>
      <w:lvlJc w:val="left"/>
      <w:pPr>
        <w:ind w:hanging="1440" w:left="3960"/>
      </w:pPr>
      <w:rPr>
        <w:rFonts w:cstheme="majorBidi" w:eastAsiaTheme="majorEastAsia" w:hint="default"/>
        <w:b/>
        <w:sz w:val="24"/>
      </w:rPr>
    </w:lvl>
    <w:lvl w:ilvl="8">
      <w:start w:val="1"/>
      <w:numFmt w:val="decimal"/>
      <w:lvlText w:val="%1.%2.%3.%4.%5.%6.%7.%8.%9"/>
      <w:lvlJc w:val="left"/>
      <w:pPr>
        <w:ind w:hanging="1440" w:left="4320"/>
      </w:pPr>
      <w:rPr>
        <w:rFonts w:cstheme="majorBidi" w:eastAsiaTheme="majorEastAsia" w:hint="default"/>
        <w:b/>
        <w:sz w:val="24"/>
      </w:rPr>
    </w:lvl>
  </w:abstractNum>
  <w:abstractNum w15:restartNumberingAfterBreak="0" w:abstractNumId="27">
    <w:nsid w:val="473C09DB"/>
    <w:multiLevelType w:val="hybridMultilevel"/>
    <w:tmpl w:val="4EA6885A"/>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8">
    <w:nsid w:val="48524663"/>
    <w:multiLevelType w:val="hybridMultilevel"/>
    <w:tmpl w:val="64600FE4"/>
    <w:lvl w:ilvl="0" w:tplc="01707912">
      <w:start w:val="1"/>
      <w:numFmt w:val="bullet"/>
      <w:lvlText w:val=""/>
      <w:lvlJc w:val="left"/>
      <w:pPr>
        <w:ind w:hanging="360" w:left="720"/>
      </w:pPr>
      <w:rPr>
        <w:rFonts w:ascii="Symbol" w:hAnsi="Symbol" w:hint="default"/>
        <w:color w:val="FF0000"/>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4A0A2ADC"/>
    <w:multiLevelType w:val="hybridMultilevel"/>
    <w:tmpl w:val="3B94EF14"/>
    <w:lvl w:ilvl="0" w:tplc="18D05E32">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0">
    <w:nsid w:val="4B1B18FE"/>
    <w:multiLevelType w:val="multilevel"/>
    <w:tmpl w:val="59C408E0"/>
    <w:lvl w:ilvl="0">
      <w:start w:val="1"/>
      <w:numFmt w:val="decimal"/>
      <w:lvlText w:val="%1."/>
      <w:lvlJc w:val="left"/>
      <w:pPr>
        <w:ind w:hanging="144" w:left="504"/>
      </w:pPr>
      <w:rPr>
        <w:rFonts w:hint="default"/>
      </w:rPr>
    </w:lvl>
    <w:lvl w:ilvl="1">
      <w:start w:val="2"/>
      <w:numFmt w:val="decimal"/>
      <w:isLgl/>
      <w:lvlText w:val="%1.%2"/>
      <w:lvlJc w:val="left"/>
      <w:pPr>
        <w:ind w:hanging="360" w:left="720"/>
      </w:pPr>
      <w:rPr>
        <w:rFonts w:cstheme="majorBidi" w:eastAsiaTheme="majorEastAsia" w:hint="default"/>
        <w:b/>
        <w:sz w:val="24"/>
      </w:rPr>
    </w:lvl>
    <w:lvl w:ilvl="2">
      <w:start w:val="1"/>
      <w:numFmt w:val="decimal"/>
      <w:isLgl/>
      <w:lvlText w:val="%1.%2.%3"/>
      <w:lvlJc w:val="left"/>
      <w:pPr>
        <w:ind w:hanging="720" w:left="1080"/>
      </w:pPr>
      <w:rPr>
        <w:rFonts w:cstheme="majorBidi" w:eastAsiaTheme="majorEastAsia" w:hint="default"/>
        <w:b/>
        <w:sz w:val="24"/>
      </w:rPr>
    </w:lvl>
    <w:lvl w:ilvl="3">
      <w:start w:val="1"/>
      <w:numFmt w:val="decimal"/>
      <w:isLgl/>
      <w:lvlText w:val="%1.%2.%3.%4"/>
      <w:lvlJc w:val="left"/>
      <w:pPr>
        <w:ind w:hanging="720" w:left="1080"/>
      </w:pPr>
      <w:rPr>
        <w:rFonts w:cstheme="majorBidi" w:eastAsiaTheme="majorEastAsia" w:hint="default"/>
        <w:b/>
        <w:sz w:val="24"/>
      </w:rPr>
    </w:lvl>
    <w:lvl w:ilvl="4">
      <w:start w:val="1"/>
      <w:numFmt w:val="decimal"/>
      <w:isLgl/>
      <w:lvlText w:val="%1.%2.%3.%4.%5"/>
      <w:lvlJc w:val="left"/>
      <w:pPr>
        <w:ind w:hanging="720" w:left="1080"/>
      </w:pPr>
      <w:rPr>
        <w:rFonts w:cstheme="majorBidi" w:eastAsiaTheme="majorEastAsia" w:hint="default"/>
        <w:b/>
        <w:sz w:val="24"/>
      </w:rPr>
    </w:lvl>
    <w:lvl w:ilvl="5">
      <w:start w:val="1"/>
      <w:numFmt w:val="decimal"/>
      <w:isLgl/>
      <w:lvlText w:val="%1.%2.%3.%4.%5.%6"/>
      <w:lvlJc w:val="left"/>
      <w:pPr>
        <w:ind w:hanging="1080" w:left="1440"/>
      </w:pPr>
      <w:rPr>
        <w:rFonts w:cstheme="majorBidi" w:eastAsiaTheme="majorEastAsia" w:hint="default"/>
        <w:b/>
        <w:sz w:val="24"/>
      </w:rPr>
    </w:lvl>
    <w:lvl w:ilvl="6">
      <w:start w:val="1"/>
      <w:numFmt w:val="decimal"/>
      <w:isLgl/>
      <w:lvlText w:val="%1.%2.%3.%4.%5.%6.%7"/>
      <w:lvlJc w:val="left"/>
      <w:pPr>
        <w:ind w:hanging="1080" w:left="1440"/>
      </w:pPr>
      <w:rPr>
        <w:rFonts w:cstheme="majorBidi" w:eastAsiaTheme="majorEastAsia" w:hint="default"/>
        <w:b/>
        <w:sz w:val="24"/>
      </w:rPr>
    </w:lvl>
    <w:lvl w:ilvl="7">
      <w:start w:val="1"/>
      <w:numFmt w:val="decimal"/>
      <w:isLgl/>
      <w:lvlText w:val="%1.%2.%3.%4.%5.%6.%7.%8"/>
      <w:lvlJc w:val="left"/>
      <w:pPr>
        <w:ind w:hanging="1440" w:left="1800"/>
      </w:pPr>
      <w:rPr>
        <w:rFonts w:cstheme="majorBidi" w:eastAsiaTheme="majorEastAsia" w:hint="default"/>
        <w:b/>
        <w:sz w:val="24"/>
      </w:rPr>
    </w:lvl>
    <w:lvl w:ilvl="8">
      <w:start w:val="1"/>
      <w:numFmt w:val="decimal"/>
      <w:isLgl/>
      <w:lvlText w:val="%1.%2.%3.%4.%5.%6.%7.%8.%9"/>
      <w:lvlJc w:val="left"/>
      <w:pPr>
        <w:ind w:hanging="1440" w:left="1800"/>
      </w:pPr>
      <w:rPr>
        <w:rFonts w:cstheme="majorBidi" w:eastAsiaTheme="majorEastAsia" w:hint="default"/>
        <w:b/>
        <w:sz w:val="24"/>
      </w:rPr>
    </w:lvl>
  </w:abstractNum>
  <w:abstractNum w15:restartNumberingAfterBreak="0" w:abstractNumId="31">
    <w:nsid w:val="53A36BDF"/>
    <w:multiLevelType w:val="hybridMultilevel"/>
    <w:tmpl w:val="1C9624B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2">
    <w:nsid w:val="55C36E25"/>
    <w:multiLevelType w:val="hybridMultilevel"/>
    <w:tmpl w:val="9800BF92"/>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3">
    <w:nsid w:val="567800D5"/>
    <w:multiLevelType w:val="hybridMultilevel"/>
    <w:tmpl w:val="9744898A"/>
    <w:lvl w:ilvl="0" w:tplc="5BE4B81C">
      <w:start w:val="1"/>
      <w:numFmt w:val="decimal"/>
      <w:lvlText w:val="%1."/>
      <w:lvlJc w:val="left"/>
      <w:pPr>
        <w:ind w:hanging="360" w:left="864"/>
      </w:pPr>
      <w:rPr>
        <w:rFonts w:hint="default"/>
      </w:rPr>
    </w:lvl>
    <w:lvl w:ilvl="1" w:tentative="1" w:tplc="20000019">
      <w:start w:val="1"/>
      <w:numFmt w:val="lowerLetter"/>
      <w:lvlText w:val="%2."/>
      <w:lvlJc w:val="left"/>
      <w:pPr>
        <w:ind w:hanging="360" w:left="1584"/>
      </w:pPr>
    </w:lvl>
    <w:lvl w:ilvl="2" w:tentative="1" w:tplc="2000001B">
      <w:start w:val="1"/>
      <w:numFmt w:val="lowerRoman"/>
      <w:lvlText w:val="%3."/>
      <w:lvlJc w:val="right"/>
      <w:pPr>
        <w:ind w:hanging="180" w:left="2304"/>
      </w:pPr>
    </w:lvl>
    <w:lvl w:ilvl="3" w:tentative="1" w:tplc="2000000F">
      <w:start w:val="1"/>
      <w:numFmt w:val="decimal"/>
      <w:lvlText w:val="%4."/>
      <w:lvlJc w:val="left"/>
      <w:pPr>
        <w:ind w:hanging="360" w:left="3024"/>
      </w:pPr>
    </w:lvl>
    <w:lvl w:ilvl="4" w:tentative="1" w:tplc="20000019">
      <w:start w:val="1"/>
      <w:numFmt w:val="lowerLetter"/>
      <w:lvlText w:val="%5."/>
      <w:lvlJc w:val="left"/>
      <w:pPr>
        <w:ind w:hanging="360" w:left="3744"/>
      </w:pPr>
    </w:lvl>
    <w:lvl w:ilvl="5" w:tentative="1" w:tplc="2000001B">
      <w:start w:val="1"/>
      <w:numFmt w:val="lowerRoman"/>
      <w:lvlText w:val="%6."/>
      <w:lvlJc w:val="right"/>
      <w:pPr>
        <w:ind w:hanging="180" w:left="4464"/>
      </w:pPr>
    </w:lvl>
    <w:lvl w:ilvl="6" w:tentative="1" w:tplc="2000000F">
      <w:start w:val="1"/>
      <w:numFmt w:val="decimal"/>
      <w:lvlText w:val="%7."/>
      <w:lvlJc w:val="left"/>
      <w:pPr>
        <w:ind w:hanging="360" w:left="5184"/>
      </w:pPr>
    </w:lvl>
    <w:lvl w:ilvl="7" w:tentative="1" w:tplc="20000019">
      <w:start w:val="1"/>
      <w:numFmt w:val="lowerLetter"/>
      <w:lvlText w:val="%8."/>
      <w:lvlJc w:val="left"/>
      <w:pPr>
        <w:ind w:hanging="360" w:left="5904"/>
      </w:pPr>
    </w:lvl>
    <w:lvl w:ilvl="8" w:tentative="1" w:tplc="2000001B">
      <w:start w:val="1"/>
      <w:numFmt w:val="lowerRoman"/>
      <w:lvlText w:val="%9."/>
      <w:lvlJc w:val="right"/>
      <w:pPr>
        <w:ind w:hanging="180" w:left="6624"/>
      </w:pPr>
    </w:lvl>
  </w:abstractNum>
  <w:abstractNum w15:restartNumberingAfterBreak="0" w:abstractNumId="34">
    <w:nsid w:val="59124C71"/>
    <w:multiLevelType w:val="hybridMultilevel"/>
    <w:tmpl w:val="7DCA5274"/>
    <w:lvl w:ilvl="0" w:tplc="2000000F">
      <w:start w:val="1"/>
      <w:numFmt w:val="decimal"/>
      <w:lvlText w:val="%1."/>
      <w:lvlJc w:val="left"/>
      <w:pPr>
        <w:ind w:hanging="360" w:left="1224"/>
      </w:pPr>
    </w:lvl>
    <w:lvl w:ilvl="1" w:tentative="1" w:tplc="20000019">
      <w:start w:val="1"/>
      <w:numFmt w:val="lowerLetter"/>
      <w:lvlText w:val="%2."/>
      <w:lvlJc w:val="left"/>
      <w:pPr>
        <w:ind w:hanging="360" w:left="1944"/>
      </w:pPr>
    </w:lvl>
    <w:lvl w:ilvl="2" w:tentative="1" w:tplc="2000001B">
      <w:start w:val="1"/>
      <w:numFmt w:val="lowerRoman"/>
      <w:lvlText w:val="%3."/>
      <w:lvlJc w:val="right"/>
      <w:pPr>
        <w:ind w:hanging="180" w:left="2664"/>
      </w:pPr>
    </w:lvl>
    <w:lvl w:ilvl="3" w:tentative="1" w:tplc="2000000F">
      <w:start w:val="1"/>
      <w:numFmt w:val="decimal"/>
      <w:lvlText w:val="%4."/>
      <w:lvlJc w:val="left"/>
      <w:pPr>
        <w:ind w:hanging="360" w:left="3384"/>
      </w:pPr>
    </w:lvl>
    <w:lvl w:ilvl="4" w:tentative="1" w:tplc="20000019">
      <w:start w:val="1"/>
      <w:numFmt w:val="lowerLetter"/>
      <w:lvlText w:val="%5."/>
      <w:lvlJc w:val="left"/>
      <w:pPr>
        <w:ind w:hanging="360" w:left="4104"/>
      </w:pPr>
    </w:lvl>
    <w:lvl w:ilvl="5" w:tentative="1" w:tplc="2000001B">
      <w:start w:val="1"/>
      <w:numFmt w:val="lowerRoman"/>
      <w:lvlText w:val="%6."/>
      <w:lvlJc w:val="right"/>
      <w:pPr>
        <w:ind w:hanging="180" w:left="4824"/>
      </w:pPr>
    </w:lvl>
    <w:lvl w:ilvl="6" w:tentative="1" w:tplc="2000000F">
      <w:start w:val="1"/>
      <w:numFmt w:val="decimal"/>
      <w:lvlText w:val="%7."/>
      <w:lvlJc w:val="left"/>
      <w:pPr>
        <w:ind w:hanging="360" w:left="5544"/>
      </w:pPr>
    </w:lvl>
    <w:lvl w:ilvl="7" w:tentative="1" w:tplc="20000019">
      <w:start w:val="1"/>
      <w:numFmt w:val="lowerLetter"/>
      <w:lvlText w:val="%8."/>
      <w:lvlJc w:val="left"/>
      <w:pPr>
        <w:ind w:hanging="360" w:left="6264"/>
      </w:pPr>
    </w:lvl>
    <w:lvl w:ilvl="8" w:tentative="1" w:tplc="2000001B">
      <w:start w:val="1"/>
      <w:numFmt w:val="lowerRoman"/>
      <w:lvlText w:val="%9."/>
      <w:lvlJc w:val="right"/>
      <w:pPr>
        <w:ind w:hanging="180" w:left="6984"/>
      </w:pPr>
    </w:lvl>
  </w:abstractNum>
  <w:abstractNum w15:restartNumberingAfterBreak="0" w:abstractNumId="35">
    <w:nsid w:val="59DB6789"/>
    <w:multiLevelType w:val="hybridMultilevel"/>
    <w:tmpl w:val="6D68D0B6"/>
    <w:lvl w:ilvl="0" w:tplc="20000003">
      <w:start w:val="1"/>
      <w:numFmt w:val="bullet"/>
      <w:lvlText w:val="o"/>
      <w:lvlJc w:val="left"/>
      <w:pPr>
        <w:ind w:hanging="360" w:left="1080"/>
      </w:pPr>
      <w:rPr>
        <w:rFonts w:ascii="Courier New" w:cs="Courier New" w:hAnsi="Courier New" w:hint="default"/>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6">
    <w:nsid w:val="5F3C39A3"/>
    <w:multiLevelType w:val="hybridMultilevel"/>
    <w:tmpl w:val="E904F5FA"/>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7">
    <w:nsid w:val="62F6553A"/>
    <w:multiLevelType w:val="hybridMultilevel"/>
    <w:tmpl w:val="EB98C926"/>
    <w:lvl w:ilvl="0" w:tplc="6E1A5290">
      <w:numFmt w:val="bullet"/>
      <w:lvlText w:val="-"/>
      <w:lvlJc w:val="left"/>
      <w:pPr>
        <w:ind w:hanging="360" w:left="720"/>
      </w:pPr>
      <w:rPr>
        <w:rFonts w:ascii="Arial Narrow" w:cstheme="minorBidi" w:eastAsiaTheme="minorHAnsi"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8">
    <w:nsid w:val="65332531"/>
    <w:multiLevelType w:val="hybridMultilevel"/>
    <w:tmpl w:val="0658C5C2"/>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39">
    <w:nsid w:val="6A4763E1"/>
    <w:multiLevelType w:val="hybridMultilevel"/>
    <w:tmpl w:val="DE88AEA2"/>
    <w:lvl w:ilvl="0" w:tplc="100C0003">
      <w:start w:val="1"/>
      <w:numFmt w:val="bullet"/>
      <w:lvlText w:val="o"/>
      <w:lvlJc w:val="left"/>
      <w:pPr>
        <w:ind w:hanging="360" w:left="720"/>
      </w:pPr>
      <w:rPr>
        <w:rFonts w:ascii="Courier New" w:cs="Courier New" w:hAnsi="Courier New"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6AF348D1"/>
    <w:multiLevelType w:val="hybridMultilevel"/>
    <w:tmpl w:val="A17A6D8A"/>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41">
    <w:nsid w:val="6CE31FD7"/>
    <w:multiLevelType w:val="hybridMultilevel"/>
    <w:tmpl w:val="A600B8EC"/>
    <w:lvl w:ilvl="0" w:tplc="B85AF90C">
      <w:start w:val="1"/>
      <w:numFmt w:val="bullet"/>
      <w:lvlText w:val=""/>
      <w:lvlJc w:val="left"/>
      <w:pPr>
        <w:ind w:hanging="360" w:left="720"/>
      </w:pPr>
      <w:rPr>
        <w:rFonts w:ascii="Symbol" w:hAnsi="Symbol" w:hint="default"/>
        <w:b/>
        <w:bCs/>
      </w:rPr>
    </w:lvl>
    <w:lvl w:ilvl="1" w:tplc="20000003">
      <w:start w:val="1"/>
      <w:numFmt w:val="bullet"/>
      <w:lvlText w:val="o"/>
      <w:lvlJc w:val="left"/>
      <w:pPr>
        <w:ind w:hanging="360" w:left="1440"/>
      </w:pPr>
      <w:rPr>
        <w:rFonts w:ascii="Courier New" w:cs="Courier New" w:hAnsi="Courier New" w:hint="default"/>
      </w:rPr>
    </w:lvl>
    <w:lvl w:ilvl="2"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42">
    <w:nsid w:val="6F7769B2"/>
    <w:multiLevelType w:val="hybridMultilevel"/>
    <w:tmpl w:val="C022633C"/>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3">
    <w:nsid w:val="70552C90"/>
    <w:multiLevelType w:val="hybridMultilevel"/>
    <w:tmpl w:val="8042CD6E"/>
    <w:lvl w:ilvl="0" w:tplc="EF08CABA">
      <w:start w:val="1"/>
      <w:numFmt w:val="bullet"/>
      <w:lvlText w:val=""/>
      <w:lvlJc w:val="left"/>
      <w:pPr>
        <w:ind w:hanging="360" w:left="720"/>
      </w:pPr>
      <w:rPr>
        <w:rFonts w:ascii="Symbol" w:hAnsi="Symbol" w:hint="default"/>
        <w:color w:val="E54143"/>
      </w:rPr>
    </w:lvl>
    <w:lvl w:ilvl="1" w:tplc="180A0003">
      <w:start w:val="1"/>
      <w:numFmt w:val="bullet"/>
      <w:lvlText w:val="o"/>
      <w:lvlJc w:val="left"/>
      <w:pPr>
        <w:ind w:hanging="360" w:left="1440"/>
      </w:pPr>
      <w:rPr>
        <w:rFonts w:ascii="Courier New" w:cs="Courier New" w:hAnsi="Courier New" w:hint="default"/>
      </w:rPr>
    </w:lvl>
    <w:lvl w:ilvl="2" w:tentative="1" w:tplc="180A0005">
      <w:start w:val="1"/>
      <w:numFmt w:val="bullet"/>
      <w:lvlText w:val=""/>
      <w:lvlJc w:val="left"/>
      <w:pPr>
        <w:ind w:hanging="360" w:left="2160"/>
      </w:pPr>
      <w:rPr>
        <w:rFonts w:ascii="Wingdings" w:hAnsi="Wingdings" w:hint="default"/>
      </w:rPr>
    </w:lvl>
    <w:lvl w:ilvl="3" w:tplc="180A0001">
      <w:start w:val="1"/>
      <w:numFmt w:val="bullet"/>
      <w:lvlText w:val=""/>
      <w:lvlJc w:val="left"/>
      <w:pPr>
        <w:ind w:hanging="360" w:left="2880"/>
      </w:pPr>
      <w:rPr>
        <w:rFonts w:ascii="Symbol" w:hAnsi="Symbol" w:hint="default"/>
      </w:rPr>
    </w:lvl>
    <w:lvl w:ilvl="4" w:tentative="1" w:tplc="180A0003">
      <w:start w:val="1"/>
      <w:numFmt w:val="bullet"/>
      <w:lvlText w:val="o"/>
      <w:lvlJc w:val="left"/>
      <w:pPr>
        <w:ind w:hanging="360" w:left="3600"/>
      </w:pPr>
      <w:rPr>
        <w:rFonts w:ascii="Courier New" w:cs="Courier New" w:hAnsi="Courier New" w:hint="default"/>
      </w:rPr>
    </w:lvl>
    <w:lvl w:ilvl="5" w:tentative="1" w:tplc="180A0005">
      <w:start w:val="1"/>
      <w:numFmt w:val="bullet"/>
      <w:lvlText w:val=""/>
      <w:lvlJc w:val="left"/>
      <w:pPr>
        <w:ind w:hanging="360" w:left="4320"/>
      </w:pPr>
      <w:rPr>
        <w:rFonts w:ascii="Wingdings" w:hAnsi="Wingdings" w:hint="default"/>
      </w:rPr>
    </w:lvl>
    <w:lvl w:ilvl="6" w:tentative="1" w:tplc="180A0001">
      <w:start w:val="1"/>
      <w:numFmt w:val="bullet"/>
      <w:lvlText w:val=""/>
      <w:lvlJc w:val="left"/>
      <w:pPr>
        <w:ind w:hanging="360" w:left="5040"/>
      </w:pPr>
      <w:rPr>
        <w:rFonts w:ascii="Symbol" w:hAnsi="Symbol" w:hint="default"/>
      </w:rPr>
    </w:lvl>
    <w:lvl w:ilvl="7" w:tentative="1" w:tplc="180A0003">
      <w:start w:val="1"/>
      <w:numFmt w:val="bullet"/>
      <w:lvlText w:val="o"/>
      <w:lvlJc w:val="left"/>
      <w:pPr>
        <w:ind w:hanging="360" w:left="5760"/>
      </w:pPr>
      <w:rPr>
        <w:rFonts w:ascii="Courier New" w:cs="Courier New" w:hAnsi="Courier New" w:hint="default"/>
      </w:rPr>
    </w:lvl>
    <w:lvl w:ilvl="8" w:tentative="1" w:tplc="180A0005">
      <w:start w:val="1"/>
      <w:numFmt w:val="bullet"/>
      <w:lvlText w:val=""/>
      <w:lvlJc w:val="left"/>
      <w:pPr>
        <w:ind w:hanging="360" w:left="6480"/>
      </w:pPr>
      <w:rPr>
        <w:rFonts w:ascii="Wingdings" w:hAnsi="Wingdings" w:hint="default"/>
      </w:rPr>
    </w:lvl>
  </w:abstractNum>
  <w:abstractNum w15:restartNumberingAfterBreak="0" w:abstractNumId="44">
    <w:nsid w:val="7267252A"/>
    <w:multiLevelType w:val="hybridMultilevel"/>
    <w:tmpl w:val="E5FA630E"/>
    <w:lvl w:ilvl="0" w:tplc="2000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7CED5726"/>
    <w:multiLevelType w:val="hybridMultilevel"/>
    <w:tmpl w:val="06D22A0A"/>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46">
    <w:nsid w:val="7D61398E"/>
    <w:multiLevelType w:val="hybridMultilevel"/>
    <w:tmpl w:val="1BE8FD52"/>
    <w:lvl w:ilvl="0" w:tplc="C9C0620E">
      <w:start w:val="1"/>
      <w:numFmt w:val="bullet"/>
      <w:lvlText w:val="o"/>
      <w:lvlJc w:val="left"/>
      <w:pPr>
        <w:ind w:hanging="360" w:left="720"/>
      </w:pPr>
      <w:rPr>
        <w:rFonts w:ascii="Courier New" w:cs="Courier New" w:hAnsi="Courier New" w:hint="default"/>
        <w:color w:themeColor="text1" w:val="00000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7">
    <w:nsid w:val="7E3D2EC3"/>
    <w:multiLevelType w:val="hybridMultilevel"/>
    <w:tmpl w:val="765C277C"/>
    <w:lvl w:ilvl="0" w:tplc="7CE830A4">
      <w:start w:val="1"/>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01501535" w:numId="1">
    <w:abstractNumId w:val="43"/>
  </w:num>
  <w:num w16cid:durableId="1739476191" w:numId="2">
    <w:abstractNumId w:val="46"/>
  </w:num>
  <w:num w16cid:durableId="596670943" w:numId="3">
    <w:abstractNumId w:val="30"/>
  </w:num>
  <w:num w16cid:durableId="960113730" w:numId="4">
    <w:abstractNumId w:val="45"/>
  </w:num>
  <w:num w16cid:durableId="1223179917" w:numId="5">
    <w:abstractNumId w:val="28"/>
  </w:num>
  <w:num w16cid:durableId="2095936924" w:numId="6">
    <w:abstractNumId w:val="23"/>
  </w:num>
  <w:num w16cid:durableId="168104609" w:numId="7">
    <w:abstractNumId w:val="26"/>
  </w:num>
  <w:num w16cid:durableId="241721013" w:numId="8">
    <w:abstractNumId w:val="3"/>
  </w:num>
  <w:num w16cid:durableId="316039221" w:numId="9">
    <w:abstractNumId w:val="2"/>
  </w:num>
  <w:num w16cid:durableId="1321151716" w:numId="10">
    <w:abstractNumId w:val="39"/>
  </w:num>
  <w:num w16cid:durableId="1133330569" w:numId="11">
    <w:abstractNumId w:val="8"/>
  </w:num>
  <w:num w16cid:durableId="1898281747" w:numId="12">
    <w:abstractNumId w:val="11"/>
  </w:num>
  <w:num w16cid:durableId="838886467" w:numId="13">
    <w:abstractNumId w:val="16"/>
  </w:num>
  <w:num w16cid:durableId="2139029661" w:numId="14">
    <w:abstractNumId w:val="27"/>
  </w:num>
  <w:num w16cid:durableId="821964078" w:numId="15">
    <w:abstractNumId w:val="42"/>
  </w:num>
  <w:num w16cid:durableId="238174616" w:numId="16">
    <w:abstractNumId w:val="10"/>
  </w:num>
  <w:num w16cid:durableId="2125416300" w:numId="17">
    <w:abstractNumId w:val="9"/>
  </w:num>
  <w:num w16cid:durableId="563762647" w:numId="18">
    <w:abstractNumId w:val="25"/>
  </w:num>
  <w:num w16cid:durableId="1673871109" w:numId="19">
    <w:abstractNumId w:val="35"/>
  </w:num>
  <w:num w16cid:durableId="185798969" w:numId="20">
    <w:abstractNumId w:val="34"/>
  </w:num>
  <w:num w16cid:durableId="1690445934" w:numId="21">
    <w:abstractNumId w:val="33"/>
  </w:num>
  <w:num w16cid:durableId="1231697088" w:numId="22">
    <w:abstractNumId w:val="6"/>
  </w:num>
  <w:num w16cid:durableId="264121971" w:numId="23">
    <w:abstractNumId w:val="19"/>
  </w:num>
  <w:num w16cid:durableId="749087129" w:numId="24">
    <w:abstractNumId w:val="20"/>
  </w:num>
  <w:num w16cid:durableId="1518689442" w:numId="25">
    <w:abstractNumId w:val="44"/>
  </w:num>
  <w:num w16cid:durableId="485054717" w:numId="26">
    <w:abstractNumId w:val="7"/>
  </w:num>
  <w:num w16cid:durableId="6828864" w:numId="27">
    <w:abstractNumId w:val="38"/>
  </w:num>
  <w:num w16cid:durableId="1427919968" w:numId="28">
    <w:abstractNumId w:val="12"/>
  </w:num>
  <w:num w16cid:durableId="1988244589" w:numId="29">
    <w:abstractNumId w:val="21"/>
  </w:num>
  <w:num w16cid:durableId="2050647386" w:numId="30">
    <w:abstractNumId w:val="41"/>
  </w:num>
  <w:num w16cid:durableId="476532058" w:numId="31">
    <w:abstractNumId w:val="47"/>
  </w:num>
  <w:num w16cid:durableId="78334076" w:numId="32">
    <w:abstractNumId w:val="1"/>
  </w:num>
  <w:num w16cid:durableId="107244739" w:numId="33">
    <w:abstractNumId w:val="31"/>
  </w:num>
  <w:num w16cid:durableId="1558054906" w:numId="34">
    <w:abstractNumId w:val="24"/>
  </w:num>
  <w:num w16cid:durableId="1887837244" w:numId="35">
    <w:abstractNumId w:val="40"/>
  </w:num>
  <w:num w16cid:durableId="420490370" w:numId="36">
    <w:abstractNumId w:val="22"/>
  </w:num>
  <w:num w16cid:durableId="773087580" w:numId="37">
    <w:abstractNumId w:val="32"/>
  </w:num>
  <w:num w16cid:durableId="1056203373" w:numId="38">
    <w:abstractNumId w:val="37"/>
  </w:num>
  <w:num w16cid:durableId="869104721" w:numId="39">
    <w:abstractNumId w:val="0"/>
  </w:num>
  <w:num w16cid:durableId="608049387" w:numId="40">
    <w:abstractNumId w:val="13"/>
  </w:num>
  <w:num w16cid:durableId="35738322" w:numId="41">
    <w:abstractNumId w:val="29"/>
  </w:num>
  <w:num w16cid:durableId="1726106047" w:numId="42">
    <w:abstractNumId w:val="18"/>
  </w:num>
  <w:num w16cid:durableId="1428228560" w:numId="43">
    <w:abstractNumId w:val="15"/>
  </w:num>
  <w:num w16cid:durableId="1407650466" w:numId="44">
    <w:abstractNumId w:val="5"/>
  </w:num>
  <w:num w16cid:durableId="789975832" w:numId="45">
    <w:abstractNumId w:val="17"/>
  </w:num>
  <w:num w16cid:durableId="41101768" w:numId="46">
    <w:abstractNumId w:val="4"/>
  </w:num>
  <w:num w16cid:durableId="1685477892" w:numId="47">
    <w:abstractNumId w:val="14"/>
  </w:num>
  <w:num w16cid:durableId="1472167870" w:numId="48">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110"/>
  <w:drawingGridVerticalSpacing w:val="360"/>
  <w:displayHorizontalDrawingGridEvery w:val="2"/>
  <w:displayVerticalDrawingGridEvery w:val="0"/>
  <w:characterSpacingControl w:val="doNotCompress"/>
  <w:savePreviewPicture/>
  <w:hdrShapeDefaults>
    <o:shapedefaults spidmax="2050" v:ext="edit">
      <o:colormru colors="#58585a,#ee5859" v:ext="edit"/>
    </o:shapedefaults>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49D4"/>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6FF"/>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0FB"/>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208"/>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877E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48D8"/>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2BED"/>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27CC0"/>
    <w:rsid w:val="00A304C8"/>
    <w:rsid w:val="00A307C1"/>
    <w:rsid w:val="00A308B8"/>
    <w:rsid w:val="00A323EB"/>
    <w:rsid w:val="00A32D33"/>
    <w:rsid w:val="00A33012"/>
    <w:rsid w:val="00A33C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37C0C"/>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colormru colors="#58585a,#ee5859" v:ext="edi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mbria" w:hAnsi="Calibri"/>
        <w:lang w:bidi="ar-SA" w:eastAsia="en-US" w:val="en-US"/>
      </w:rPr>
    </w:rPrDefault>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pdy"/>
    <w:rsid w:val="00E340C7"/>
    <w:pPr>
      <w:spacing w:after="120" w:before="120" w:line="276" w:lineRule="auto"/>
      <w:jc w:val="both"/>
    </w:pPr>
    <w:rPr>
      <w:rFonts w:ascii="Arial Narrow" w:hAnsi="Arial Narrow"/>
      <w:sz w:val="22"/>
      <w:szCs w:val="22"/>
      <w:lang w:eastAsia="fr-FR" w:val="en-GB"/>
    </w:rPr>
  </w:style>
  <w:style w:styleId="Heading1" w:type="paragraph">
    <w:name w:val="heading 1"/>
    <w:basedOn w:val="Normal"/>
    <w:next w:val="Normal"/>
    <w:link w:val="Heading1Char"/>
    <w:uiPriority w:val="9"/>
    <w:qFormat/>
    <w:rsid w:val="006D5060"/>
    <w:pPr>
      <w:keepNext/>
      <w:spacing w:before="200" w:line="240" w:lineRule="auto"/>
      <w:outlineLvl w:val="0"/>
    </w:pPr>
    <w:rPr>
      <w:rFonts w:eastAsia="Times New Roman"/>
      <w:b/>
      <w:noProof/>
      <w:color w:themeColor="accent1" w:val="EE5859"/>
      <w:sz w:val="32"/>
      <w:szCs w:val="32"/>
      <w:lang w:val="fr-FR"/>
    </w:rPr>
  </w:style>
  <w:style w:styleId="Heading2" w:type="paragraph">
    <w:name w:val="heading 2"/>
    <w:basedOn w:val="Heading4"/>
    <w:next w:val="Normal"/>
    <w:link w:val="Heading2Char"/>
    <w:uiPriority w:val="9"/>
    <w:unhideWhenUsed/>
    <w:qFormat/>
    <w:rsid w:val="00931139"/>
    <w:pPr>
      <w:outlineLvl w:val="1"/>
    </w:pPr>
    <w:rPr>
      <w:color w:themeColor="accent1" w:val="EE5859"/>
      <w:sz w:val="28"/>
      <w:szCs w:val="32"/>
    </w:rPr>
  </w:style>
  <w:style w:styleId="Heading3" w:type="paragraph">
    <w:name w:val="heading 3"/>
    <w:basedOn w:val="Heading5"/>
    <w:next w:val="Normal"/>
    <w:link w:val="Heading3Char"/>
    <w:uiPriority w:val="9"/>
    <w:unhideWhenUsed/>
    <w:qFormat/>
    <w:rsid w:val="00931139"/>
    <w:pPr>
      <w:outlineLvl w:val="2"/>
    </w:pPr>
  </w:style>
  <w:style w:styleId="Heading4" w:type="paragraph">
    <w:name w:val="heading 4"/>
    <w:basedOn w:val="Heading1"/>
    <w:next w:val="Normal"/>
    <w:link w:val="Heading4Char"/>
    <w:uiPriority w:val="9"/>
    <w:unhideWhenUsed/>
    <w:qFormat/>
    <w:rsid w:val="00931139"/>
    <w:pPr>
      <w:keepLines/>
      <w:outlineLvl w:val="3"/>
    </w:pPr>
    <w:rPr>
      <w:rFonts w:asciiTheme="majorHAnsi" w:hAnsiTheme="majorHAnsi"/>
      <w:bCs/>
      <w:iCs/>
      <w:smallCaps/>
      <w:color w:themeColor="accent4" w:themeShade="80" w:val="A24709"/>
      <w:sz w:val="22"/>
      <w:szCs w:val="24"/>
    </w:rPr>
  </w:style>
  <w:style w:styleId="Heading5" w:type="paragraph">
    <w:name w:val="heading 5"/>
    <w:basedOn w:val="Normal"/>
    <w:next w:val="Normal"/>
    <w:link w:val="Heading5Char"/>
    <w:uiPriority w:val="9"/>
    <w:unhideWhenUsed/>
    <w:qFormat/>
    <w:rsid w:val="001E12B2"/>
    <w:pPr>
      <w:keepNext/>
      <w:keepLines/>
      <w:spacing w:after="0"/>
      <w:outlineLvl w:val="4"/>
    </w:pPr>
    <w:rPr>
      <w:rFonts w:cstheme="majorBidi" w:eastAsiaTheme="majorEastAsia"/>
      <w:b/>
      <w:color w:val="58585A"/>
      <w:sz w:val="24"/>
    </w:rPr>
  </w:style>
  <w:style w:styleId="Heading6" w:type="paragraph">
    <w:name w:val="heading 6"/>
    <w:basedOn w:val="Normal"/>
    <w:next w:val="Normal"/>
    <w:link w:val="Heading6Char"/>
    <w:uiPriority w:val="9"/>
    <w:unhideWhenUsed/>
    <w:qFormat/>
    <w:rsid w:val="00C71711"/>
    <w:pPr>
      <w:keepNext/>
      <w:keepLines/>
      <w:spacing w:after="0" w:before="40"/>
      <w:outlineLvl w:val="5"/>
    </w:pPr>
    <w:rPr>
      <w:rFonts w:asciiTheme="majorHAnsi" w:cstheme="majorBidi" w:eastAsiaTheme="majorEastAsia" w:hAnsiTheme="majorHAnsi"/>
      <w:color w:themeColor="accent1" w:themeShade="7F" w:val="930F0F"/>
    </w:rPr>
  </w:style>
  <w:style w:styleId="Heading7" w:type="paragraph">
    <w:name w:val="heading 7"/>
    <w:basedOn w:val="Normal"/>
    <w:next w:val="Normal"/>
    <w:link w:val="Heading7Char"/>
    <w:uiPriority w:val="9"/>
    <w:unhideWhenUsed/>
    <w:qFormat/>
    <w:rsid w:val="00907CFC"/>
    <w:pPr>
      <w:keepNext/>
      <w:keepLines/>
      <w:spacing w:after="0" w:before="40"/>
      <w:outlineLvl w:val="6"/>
    </w:pPr>
    <w:rPr>
      <w:rFonts w:asciiTheme="majorHAnsi" w:cstheme="majorBidi" w:eastAsiaTheme="majorEastAsia" w:hAnsiTheme="majorHAnsi"/>
      <w:i/>
      <w:iCs/>
      <w:color w:themeColor="accent1" w:themeShade="7F" w:val="930F0F"/>
    </w:rPr>
  </w:style>
  <w:style w:styleId="Heading8" w:type="paragraph">
    <w:name w:val="heading 8"/>
    <w:basedOn w:val="Normal"/>
    <w:next w:val="Normal"/>
    <w:link w:val="Heading8Char"/>
    <w:uiPriority w:val="9"/>
    <w:unhideWhenUsed/>
    <w:qFormat/>
    <w:rsid w:val="00931139"/>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uiPriority w:val="9"/>
    <w:rsid w:val="006D5060"/>
    <w:rPr>
      <w:rFonts w:ascii="Arial Narrow" w:eastAsia="Times New Roman" w:hAnsi="Arial Narrow"/>
      <w:b/>
      <w:noProof/>
      <w:color w:themeColor="accent1" w:val="EE5859"/>
      <w:sz w:val="32"/>
      <w:szCs w:val="32"/>
      <w:lang w:eastAsia="fr-FR" w:val="fr-FR"/>
    </w:rPr>
  </w:style>
  <w:style w:customStyle="1" w:styleId="Heading2Char" w:type="character">
    <w:name w:val="Heading 2 Char"/>
    <w:link w:val="Heading2"/>
    <w:uiPriority w:val="9"/>
    <w:rsid w:val="00931139"/>
    <w:rPr>
      <w:rFonts w:asciiTheme="majorHAnsi" w:eastAsia="Times New Roman" w:hAnsiTheme="majorHAnsi"/>
      <w:b/>
      <w:bCs/>
      <w:iCs/>
      <w:smallCaps/>
      <w:noProof/>
      <w:color w:themeColor="accent1" w:val="EE5859"/>
      <w:sz w:val="28"/>
      <w:szCs w:val="32"/>
      <w:lang w:eastAsia="fr-FR" w:val="fr-FR"/>
    </w:rPr>
  </w:style>
  <w:style w:customStyle="1" w:styleId="Heading3Char" w:type="character">
    <w:name w:val="Heading 3 Char"/>
    <w:link w:val="Heading3"/>
    <w:uiPriority w:val="9"/>
    <w:rsid w:val="00931139"/>
    <w:rPr>
      <w:rFonts w:ascii="Arial Narrow" w:cstheme="majorBidi" w:eastAsiaTheme="majorEastAsia" w:hAnsi="Arial Narrow"/>
      <w:b/>
      <w:color w:val="58585A"/>
      <w:sz w:val="24"/>
      <w:szCs w:val="22"/>
      <w:lang w:eastAsia="fr-FR" w:val="en-GB"/>
    </w:rPr>
  </w:style>
  <w:style w:styleId="TOC1" w:type="paragraph">
    <w:name w:val="toc 1"/>
    <w:basedOn w:val="Normal"/>
    <w:next w:val="Normal"/>
    <w:autoRedefine/>
    <w:uiPriority w:val="39"/>
    <w:unhideWhenUsed/>
    <w:rsid w:val="00F26BB2"/>
    <w:pPr>
      <w:tabs>
        <w:tab w:leader="dot" w:pos="9737" w:val="right"/>
      </w:tabs>
      <w:spacing w:after="0" w:before="0"/>
    </w:pPr>
    <w:rPr>
      <w:rFonts w:cs="Arial" w:eastAsia="Times New Roman"/>
      <w:b/>
      <w:smallCaps/>
      <w:noProof/>
      <w:color w:val="EE5859"/>
      <w:kern w:val="28"/>
    </w:rPr>
  </w:style>
  <w:style w:styleId="TOC2" w:type="paragraph">
    <w:name w:val="toc 2"/>
    <w:basedOn w:val="Normal"/>
    <w:next w:val="Normal"/>
    <w:autoRedefine/>
    <w:uiPriority w:val="39"/>
    <w:unhideWhenUsed/>
    <w:rsid w:val="001556F3"/>
    <w:pPr>
      <w:tabs>
        <w:tab w:pos="660" w:val="left"/>
        <w:tab w:pos="1418" w:val="right"/>
        <w:tab w:leader="dot" w:pos="9737" w:val="right"/>
      </w:tabs>
      <w:spacing w:after="0" w:before="0" w:line="240" w:lineRule="auto"/>
      <w:ind w:left="660"/>
      <w:jc w:val="left"/>
    </w:pPr>
    <w:rPr>
      <w:rFonts w:cs="Arial"/>
      <w:noProof/>
    </w:rPr>
  </w:style>
  <w:style w:styleId="TOC3" w:type="paragraph">
    <w:name w:val="toc 3"/>
    <w:basedOn w:val="Normal"/>
    <w:next w:val="Normal"/>
    <w:autoRedefine/>
    <w:uiPriority w:val="39"/>
    <w:unhideWhenUsed/>
    <w:rsid w:val="00F26BB2"/>
    <w:pPr>
      <w:tabs>
        <w:tab w:leader="dot" w:pos="9734" w:val="right"/>
      </w:tabs>
      <w:spacing w:after="0" w:before="0" w:line="240" w:lineRule="auto"/>
      <w:ind w:left="864"/>
      <w:jc w:val="left"/>
    </w:pPr>
    <w:rPr>
      <w:color w:val="EE5859"/>
      <w:lang w:eastAsia="ja-JP"/>
    </w:rPr>
  </w:style>
  <w:style w:styleId="Caption" w:type="paragraph">
    <w:name w:val="caption"/>
    <w:basedOn w:val="Normal"/>
    <w:next w:val="Normal"/>
    <w:unhideWhenUsed/>
    <w:qFormat/>
    <w:rsid w:val="0033374A"/>
    <w:rPr>
      <w:b/>
      <w:color w:val="58585A"/>
      <w:sz w:val="20"/>
      <w:szCs w:val="20"/>
    </w:rPr>
  </w:style>
  <w:style w:styleId="Title" w:type="paragraph">
    <w:name w:val="Title"/>
    <w:basedOn w:val="Normal"/>
    <w:next w:val="Normal"/>
    <w:link w:val="TitleChar"/>
    <w:uiPriority w:val="10"/>
    <w:qFormat/>
    <w:rsid w:val="00496650"/>
    <w:pPr>
      <w:pBdr>
        <w:bottom w:color="4F81BD" w:space="4" w:sz="8" w:val="single"/>
      </w:pBdr>
      <w:spacing w:after="300" w:line="240" w:lineRule="auto"/>
      <w:contextualSpacing/>
    </w:pPr>
    <w:rPr>
      <w:rFonts w:eastAsia="MS Gothic"/>
      <w:b/>
      <w:color w:val="244061"/>
      <w:spacing w:val="5"/>
      <w:kern w:val="28"/>
      <w:sz w:val="44"/>
      <w:szCs w:val="52"/>
    </w:rPr>
  </w:style>
  <w:style w:customStyle="1" w:styleId="TitleChar" w:type="character">
    <w:name w:val="Title Char"/>
    <w:link w:val="Title"/>
    <w:uiPriority w:val="10"/>
    <w:rsid w:val="00496650"/>
    <w:rPr>
      <w:rFonts w:ascii="Arial Narrow" w:cs="Times New Roman" w:eastAsia="MS Gothic" w:hAnsi="Arial Narrow"/>
      <w:b/>
      <w:color w:val="244061"/>
      <w:spacing w:val="5"/>
      <w:kern w:val="28"/>
      <w:sz w:val="44"/>
      <w:szCs w:val="52"/>
    </w:rPr>
  </w:style>
  <w:style w:styleId="Subtitle" w:type="paragraph">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customStyle="1" w:styleId="SubtitleChar" w:type="character">
    <w:name w:val="Subtitle Char"/>
    <w:link w:val="Subtitle"/>
    <w:uiPriority w:val="11"/>
    <w:rsid w:val="00496650"/>
    <w:rPr>
      <w:rFonts w:ascii="Calibri" w:cs="Times New Roman" w:eastAsia="Times New Roman" w:hAnsi="Calibri"/>
      <w:i/>
      <w:iCs/>
      <w:color w:val="4F81BD"/>
      <w:spacing w:val="15"/>
      <w:sz w:val="24"/>
      <w:szCs w:val="24"/>
    </w:rPr>
  </w:style>
  <w:style w:styleId="NoSpacing" w:type="paragraph">
    <w:name w:val="No Spacing"/>
    <w:link w:val="NoSpacingChar"/>
    <w:qFormat/>
    <w:rsid w:val="00496650"/>
    <w:rPr>
      <w:sz w:val="22"/>
      <w:szCs w:val="22"/>
      <w:lang w:val="fr-FR"/>
    </w:rPr>
  </w:style>
  <w:style w:customStyle="1" w:styleId="NoSpacingChar" w:type="character">
    <w:name w:val="No Spacing Char"/>
    <w:link w:val="NoSpacing"/>
    <w:uiPriority w:val="1"/>
    <w:rsid w:val="00496650"/>
    <w:rPr>
      <w:sz w:val="22"/>
      <w:szCs w:val="22"/>
      <w:lang w:val="fr-FR"/>
    </w:rPr>
  </w:style>
  <w:style w:styleId="ListParagraph" w:type="paragraph">
    <w:name w:val="List Paragraph"/>
    <w:basedOn w:val="Normal"/>
    <w:uiPriority w:val="34"/>
    <w:qFormat/>
    <w:rsid w:val="003B1927"/>
    <w:pPr>
      <w:spacing w:line="240" w:lineRule="auto"/>
      <w:ind w:left="720"/>
      <w:contextualSpacing/>
      <w:jc w:val="left"/>
    </w:pPr>
  </w:style>
  <w:style w:styleId="TOCHeading" w:type="paragraph">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eastAsia="ja-JP" w:val="en-US"/>
    </w:rPr>
  </w:style>
  <w:style w:customStyle="1" w:styleId="HeadingACTEDReport" w:type="paragraph">
    <w:name w:val="Heading ACTED Report"/>
    <w:basedOn w:val="Heading2"/>
    <w:qFormat/>
    <w:rsid w:val="00496650"/>
    <w:rPr>
      <w:smallCaps w:val="0"/>
      <w:color w:val="595959"/>
      <w:sz w:val="32"/>
      <w:szCs w:val="28"/>
    </w:rPr>
  </w:style>
  <w:style w:customStyle="1" w:styleId="Sub-HeadingACTEDReport" w:type="paragraph">
    <w:name w:val="Sub-Heading ACTED Report"/>
    <w:basedOn w:val="HeadingACTEDReport"/>
    <w:next w:val="Normal"/>
    <w:qFormat/>
    <w:rsid w:val="00496650"/>
    <w:pPr>
      <w:spacing w:before="120"/>
      <w:ind w:left="360"/>
    </w:pPr>
    <w:rPr>
      <w:color w:val="244061"/>
      <w:sz w:val="24"/>
      <w:szCs w:val="24"/>
    </w:rPr>
  </w:style>
  <w:style w:customStyle="1" w:styleId="Default" w:type="paragraph">
    <w:name w:val="Default"/>
    <w:rsid w:val="000D35ED"/>
    <w:pPr>
      <w:autoSpaceDE w:val="0"/>
      <w:autoSpaceDN w:val="0"/>
      <w:adjustRightInd w:val="0"/>
    </w:pPr>
    <w:rPr>
      <w:rFonts w:ascii="Arial" w:cs="Arial" w:eastAsia="Times New Roman" w:hAnsi="Arial"/>
      <w:color w:val="000000"/>
      <w:sz w:val="24"/>
      <w:szCs w:val="24"/>
    </w:rPr>
  </w:style>
  <w:style w:styleId="Header" w:type="paragraph">
    <w:name w:val="header"/>
    <w:basedOn w:val="Normal"/>
    <w:link w:val="HeaderChar"/>
    <w:uiPriority w:val="99"/>
    <w:unhideWhenUsed/>
    <w:rsid w:val="00880C87"/>
    <w:pPr>
      <w:tabs>
        <w:tab w:pos="4513" w:val="center"/>
        <w:tab w:pos="9026" w:val="right"/>
      </w:tabs>
      <w:spacing w:after="0" w:line="240" w:lineRule="auto"/>
    </w:pPr>
  </w:style>
  <w:style w:customStyle="1" w:styleId="HeaderChar" w:type="character">
    <w:name w:val="Header Char"/>
    <w:link w:val="Header"/>
    <w:uiPriority w:val="99"/>
    <w:rsid w:val="00880C87"/>
    <w:rPr>
      <w:sz w:val="22"/>
      <w:szCs w:val="22"/>
    </w:rPr>
  </w:style>
  <w:style w:styleId="Footer" w:type="paragraph">
    <w:name w:val="footer"/>
    <w:basedOn w:val="Normal"/>
    <w:link w:val="FooterChar"/>
    <w:uiPriority w:val="99"/>
    <w:unhideWhenUsed/>
    <w:rsid w:val="00880C87"/>
    <w:pPr>
      <w:tabs>
        <w:tab w:pos="4513" w:val="center"/>
        <w:tab w:pos="9026" w:val="right"/>
      </w:tabs>
      <w:spacing w:after="0" w:line="240" w:lineRule="auto"/>
    </w:pPr>
  </w:style>
  <w:style w:customStyle="1" w:styleId="FooterChar" w:type="character">
    <w:name w:val="Footer Char"/>
    <w:link w:val="Footer"/>
    <w:uiPriority w:val="99"/>
    <w:rsid w:val="00880C87"/>
    <w:rPr>
      <w:sz w:val="22"/>
      <w:szCs w:val="22"/>
    </w:rPr>
  </w:style>
  <w:style w:styleId="BalloonText" w:type="paragraph">
    <w:name w:val="Balloon Text"/>
    <w:basedOn w:val="Normal"/>
    <w:link w:val="BalloonTextChar"/>
    <w:uiPriority w:val="99"/>
    <w:semiHidden/>
    <w:unhideWhenUsed/>
    <w:rsid w:val="00880C87"/>
    <w:pPr>
      <w:spacing w:after="0" w:line="240" w:lineRule="auto"/>
    </w:pPr>
    <w:rPr>
      <w:rFonts w:ascii="Tahoma" w:cs="Tahoma" w:hAnsi="Tahoma"/>
      <w:sz w:val="16"/>
      <w:szCs w:val="16"/>
    </w:rPr>
  </w:style>
  <w:style w:customStyle="1" w:styleId="BalloonTextChar" w:type="character">
    <w:name w:val="Balloon Text Char"/>
    <w:link w:val="BalloonText"/>
    <w:uiPriority w:val="99"/>
    <w:semiHidden/>
    <w:rsid w:val="00880C87"/>
    <w:rPr>
      <w:rFonts w:ascii="Tahoma" w:cs="Tahoma" w:hAnsi="Tahoma"/>
      <w:sz w:val="16"/>
      <w:szCs w:val="16"/>
    </w:rPr>
  </w:style>
  <w:style w:customStyle="1" w:styleId="A4" w:type="character">
    <w:name w:val="A4"/>
    <w:uiPriority w:val="99"/>
    <w:rsid w:val="00DF0413"/>
    <w:rPr>
      <w:rFonts w:cs="Trade Gothic LT Std Bold"/>
      <w:b/>
      <w:bCs/>
      <w:color w:val="000000"/>
      <w:sz w:val="26"/>
      <w:szCs w:val="26"/>
    </w:rPr>
  </w:style>
  <w:style w:customStyle="1" w:styleId="A3" w:type="character">
    <w:name w:val="A3"/>
    <w:uiPriority w:val="99"/>
    <w:rsid w:val="00DF0413"/>
    <w:rPr>
      <w:rFonts w:cs="Trade Gothic LT Std Bold"/>
      <w:b/>
      <w:bCs/>
      <w:color w:val="000000"/>
      <w:sz w:val="38"/>
      <w:szCs w:val="38"/>
    </w:rPr>
  </w:style>
  <w:style w:customStyle="1" w:styleId="BasicParagraph" w:type="paragraph">
    <w:name w:val="[Basic Paragraph]"/>
    <w:basedOn w:val="Normal"/>
    <w:uiPriority w:val="99"/>
    <w:rsid w:val="00AF2B99"/>
    <w:pPr>
      <w:autoSpaceDE w:val="0"/>
      <w:autoSpaceDN w:val="0"/>
      <w:adjustRightInd w:val="0"/>
      <w:spacing w:after="0" w:line="288" w:lineRule="auto"/>
      <w:jc w:val="left"/>
      <w:textAlignment w:val="center"/>
    </w:pPr>
    <w:rPr>
      <w:rFonts w:ascii="Minion Pro" w:cs="Minion Pro" w:hAnsi="Minion Pro"/>
      <w:color w:val="000000"/>
      <w:sz w:val="24"/>
      <w:szCs w:val="24"/>
    </w:rPr>
  </w:style>
  <w:style w:styleId="CommentReference" w:type="character">
    <w:name w:val="annotation reference"/>
    <w:uiPriority w:val="99"/>
    <w:semiHidden/>
    <w:unhideWhenUsed/>
    <w:rsid w:val="00AF2B99"/>
    <w:rPr>
      <w:sz w:val="16"/>
      <w:szCs w:val="16"/>
    </w:rPr>
  </w:style>
  <w:style w:styleId="CommentText" w:type="paragraph">
    <w:name w:val="annotation text"/>
    <w:basedOn w:val="Normal"/>
    <w:link w:val="CommentTextChar"/>
    <w:uiPriority w:val="99"/>
    <w:unhideWhenUsed/>
    <w:rsid w:val="00AF2B99"/>
    <w:pPr>
      <w:spacing w:line="240" w:lineRule="auto"/>
      <w:jc w:val="left"/>
    </w:pPr>
    <w:rPr>
      <w:rFonts w:ascii="Cambria" w:cs="Arial" w:hAnsi="Cambria"/>
      <w:sz w:val="20"/>
      <w:szCs w:val="20"/>
    </w:rPr>
  </w:style>
  <w:style w:customStyle="1" w:styleId="CommentTextChar" w:type="character">
    <w:name w:val="Comment Text Char"/>
    <w:link w:val="CommentText"/>
    <w:uiPriority w:val="99"/>
    <w:rsid w:val="00AF2B99"/>
    <w:rPr>
      <w:rFonts w:ascii="Cambria" w:cs="Arial" w:hAnsi="Cambria"/>
    </w:rPr>
  </w:style>
  <w:style w:styleId="Hyperlink" w:type="character">
    <w:name w:val="Hyperlink"/>
    <w:uiPriority w:val="99"/>
    <w:unhideWhenUsed/>
    <w:rsid w:val="00AF2B99"/>
    <w:rPr>
      <w:color w:val="0000FF"/>
      <w:u w:val="single"/>
    </w:rPr>
  </w:style>
  <w:style w:customStyle="1" w:styleId="Pa1" w:type="paragraph">
    <w:name w:val="Pa1"/>
    <w:basedOn w:val="Default"/>
    <w:next w:val="Default"/>
    <w:uiPriority w:val="99"/>
    <w:rsid w:val="00AF2B99"/>
    <w:pPr>
      <w:spacing w:line="241" w:lineRule="atLeast"/>
    </w:pPr>
    <w:rPr>
      <w:rFonts w:ascii="Trade Gothic LT Std" w:eastAsia="Cambria" w:hAnsi="Trade Gothic LT Std"/>
      <w:color w:val="auto"/>
    </w:rPr>
  </w:style>
  <w:style w:styleId="FootnoteText" w:type="paragraph">
    <w:name w:val="footnote text"/>
    <w:basedOn w:val="Normal"/>
    <w:link w:val="FootnoteTextChar"/>
    <w:uiPriority w:val="99"/>
    <w:semiHidden/>
    <w:unhideWhenUsed/>
    <w:rsid w:val="00AF2B99"/>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F2B99"/>
  </w:style>
  <w:style w:styleId="FootnoteReference" w:type="character">
    <w:name w:val="footnote reference"/>
    <w:uiPriority w:val="99"/>
    <w:semiHidden/>
    <w:unhideWhenUsed/>
    <w:rsid w:val="00AF2B99"/>
    <w:rPr>
      <w:vertAlign w:val="superscript"/>
    </w:rPr>
  </w:style>
  <w:style w:customStyle="1" w:styleId="A10" w:type="character">
    <w:name w:val="A10"/>
    <w:uiPriority w:val="99"/>
    <w:rsid w:val="00AB47C7"/>
    <w:rPr>
      <w:rFonts w:cs="Akzidenz Grotesk BE"/>
      <w:color w:val="000000"/>
      <w:sz w:val="12"/>
      <w:szCs w:val="12"/>
    </w:rPr>
  </w:style>
  <w:style w:styleId="CommentSubject" w:type="paragraph">
    <w:name w:val="annotation subject"/>
    <w:basedOn w:val="CommentText"/>
    <w:next w:val="CommentText"/>
    <w:link w:val="CommentSubjectChar"/>
    <w:uiPriority w:val="99"/>
    <w:semiHidden/>
    <w:unhideWhenUsed/>
    <w:rsid w:val="003C2ADA"/>
    <w:pPr>
      <w:jc w:val="both"/>
    </w:pPr>
    <w:rPr>
      <w:rFonts w:ascii="Calibri" w:cs="Times New Roman" w:hAnsi="Calibri"/>
      <w:b/>
      <w:bCs/>
    </w:rPr>
  </w:style>
  <w:style w:customStyle="1" w:styleId="CommentSubjectChar" w:type="character">
    <w:name w:val="Comment Subject Char"/>
    <w:link w:val="CommentSubject"/>
    <w:uiPriority w:val="99"/>
    <w:semiHidden/>
    <w:rsid w:val="003C2ADA"/>
    <w:rPr>
      <w:rFonts w:ascii="Cambria" w:cs="Arial" w:hAnsi="Cambria"/>
      <w:b/>
      <w:bCs/>
    </w:rPr>
  </w:style>
  <w:style w:customStyle="1" w:styleId="Pa0" w:type="paragraph">
    <w:name w:val="Pa0"/>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7" w:type="character">
    <w:name w:val="A7"/>
    <w:uiPriority w:val="99"/>
    <w:rsid w:val="00A66EA6"/>
    <w:rPr>
      <w:rFonts w:cs="Trade Gothic LT Std Bold"/>
      <w:color w:val="000000"/>
      <w:sz w:val="20"/>
      <w:szCs w:val="20"/>
    </w:rPr>
  </w:style>
  <w:style w:customStyle="1" w:styleId="Pa4" w:type="paragraph">
    <w:name w:val="Pa4"/>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0" w:type="character">
    <w:name w:val="A0"/>
    <w:uiPriority w:val="99"/>
    <w:rsid w:val="00485E55"/>
    <w:rPr>
      <w:rFonts w:cs="Trade Gothic LT Std Bold"/>
      <w:b/>
      <w:bCs/>
      <w:color w:val="000000"/>
      <w:sz w:val="32"/>
      <w:szCs w:val="32"/>
    </w:rPr>
  </w:style>
  <w:style w:styleId="Revision" w:type="paragraph">
    <w:name w:val="Revision"/>
    <w:hidden/>
    <w:uiPriority w:val="71"/>
    <w:rsid w:val="00E54D20"/>
    <w:rPr>
      <w:sz w:val="22"/>
      <w:szCs w:val="22"/>
    </w:rPr>
  </w:style>
  <w:style w:styleId="IntenseEmphasis" w:type="character">
    <w:name w:val="Intense Emphasis"/>
    <w:uiPriority w:val="21"/>
    <w:rsid w:val="00066E8A"/>
    <w:rPr>
      <w:b/>
      <w:bCs/>
      <w:i/>
      <w:iCs/>
      <w:color w:val="4F81BD"/>
    </w:rPr>
  </w:style>
  <w:style w:customStyle="1" w:styleId="Heading4Char" w:type="character">
    <w:name w:val="Heading 4 Char"/>
    <w:link w:val="Heading4"/>
    <w:uiPriority w:val="9"/>
    <w:rsid w:val="00931139"/>
    <w:rPr>
      <w:rFonts w:asciiTheme="majorHAnsi" w:eastAsia="Times New Roman" w:hAnsiTheme="majorHAnsi"/>
      <w:b/>
      <w:bCs/>
      <w:iCs/>
      <w:smallCaps/>
      <w:noProof/>
      <w:color w:themeColor="accent4" w:themeShade="80" w:val="A24709"/>
      <w:sz w:val="22"/>
      <w:szCs w:val="24"/>
      <w:lang w:eastAsia="fr-FR" w:val="fr-FR"/>
    </w:rPr>
  </w:style>
  <w:style w:styleId="TOC4" w:type="paragraph">
    <w:name w:val="toc 4"/>
    <w:basedOn w:val="Normal"/>
    <w:next w:val="Normal"/>
    <w:autoRedefine/>
    <w:uiPriority w:val="39"/>
    <w:unhideWhenUsed/>
    <w:rsid w:val="008269B6"/>
    <w:pPr>
      <w:tabs>
        <w:tab w:leader="dot" w:pos="9720" w:val="right"/>
      </w:tabs>
      <w:spacing w:after="0"/>
    </w:pPr>
    <w:rPr>
      <w:rFonts w:cs="Arial" w:eastAsia="Times New Roman"/>
      <w:b/>
      <w:bCs/>
      <w:smallCaps/>
      <w:color w:val="FF0000"/>
      <w:kern w:val="28"/>
      <w:sz w:val="32"/>
      <w:szCs w:val="28"/>
    </w:rPr>
  </w:style>
  <w:style w:customStyle="1" w:styleId="Heading5Char" w:type="character">
    <w:name w:val="Heading 5 Char"/>
    <w:basedOn w:val="DefaultParagraphFont"/>
    <w:link w:val="Heading5"/>
    <w:uiPriority w:val="9"/>
    <w:rsid w:val="001E12B2"/>
    <w:rPr>
      <w:rFonts w:ascii="Arial Narrow" w:cstheme="majorBidi" w:eastAsiaTheme="majorEastAsia" w:hAnsi="Arial Narrow"/>
      <w:b/>
      <w:color w:val="58585A"/>
      <w:sz w:val="24"/>
      <w:szCs w:val="22"/>
    </w:rPr>
  </w:style>
  <w:style w:styleId="TableGrid" w:type="table">
    <w:name w:val="Table Grid"/>
    <w:basedOn w:val="TableNormal"/>
    <w:uiPriority w:val="39"/>
    <w:rsid w:val="0005308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24" w:type="character">
    <w:name w:val="A24"/>
    <w:uiPriority w:val="99"/>
    <w:rsid w:val="003E68DF"/>
    <w:rPr>
      <w:rFonts w:cs="Trade Gothic LT Std Light"/>
      <w:color w:val="000000"/>
      <w:sz w:val="23"/>
      <w:szCs w:val="23"/>
    </w:rPr>
  </w:style>
  <w:style w:styleId="TableofFigures" w:type="paragraph">
    <w:name w:val="table of figures"/>
    <w:basedOn w:val="Normal"/>
    <w:next w:val="Normal"/>
    <w:uiPriority w:val="99"/>
    <w:unhideWhenUsed/>
    <w:rsid w:val="00CF7544"/>
    <w:pPr>
      <w:spacing w:after="0"/>
    </w:pPr>
  </w:style>
  <w:style w:styleId="TOC5" w:type="paragraph">
    <w:name w:val="toc 5"/>
    <w:basedOn w:val="Normal"/>
    <w:next w:val="Normal"/>
    <w:autoRedefine/>
    <w:uiPriority w:val="39"/>
    <w:unhideWhenUsed/>
    <w:rsid w:val="00EC27EF"/>
    <w:pPr>
      <w:spacing w:after="100"/>
      <w:ind w:left="880"/>
    </w:pPr>
  </w:style>
  <w:style w:customStyle="1" w:styleId="apple-converted-space" w:type="character">
    <w:name w:val="apple-converted-space"/>
    <w:basedOn w:val="DefaultParagraphFont"/>
    <w:rsid w:val="000B3CF5"/>
  </w:style>
  <w:style w:customStyle="1" w:styleId="Body" w:type="paragraph">
    <w:name w:val="Body"/>
    <w:basedOn w:val="Default"/>
    <w:link w:val="BodyCar"/>
    <w:rsid w:val="00BB077B"/>
    <w:rPr>
      <w:rFonts w:ascii="Arial Narrow" w:hAnsi="Arial Narrow"/>
      <w:smallCaps/>
      <w:noProof/>
      <w:color w:themeColor="text1" w:val="000000"/>
      <w:sz w:val="22"/>
      <w:szCs w:val="32"/>
      <w:lang w:eastAsia="fr-FR" w:val="fr-FR"/>
    </w:rPr>
  </w:style>
  <w:style w:customStyle="1" w:styleId="Paragraphe" w:type="paragraph">
    <w:name w:val="Paragraphe"/>
    <w:basedOn w:val="Normal"/>
    <w:link w:val="ParagrapheCar"/>
    <w:qFormat/>
    <w:rsid w:val="00EC0B70"/>
    <w:pPr>
      <w:spacing w:after="0"/>
      <w:jc w:val="left"/>
    </w:pPr>
    <w:rPr>
      <w:noProof/>
      <w:color w:themeColor="text1" w:val="000000"/>
      <w:shd w:color="auto" w:fill="FFFFFF" w:val="clear"/>
    </w:rPr>
  </w:style>
  <w:style w:customStyle="1" w:styleId="BodyCar" w:type="character">
    <w:name w:val="Body Car"/>
    <w:basedOn w:val="DefaultParagraphFont"/>
    <w:link w:val="Body"/>
    <w:rsid w:val="00BB077B"/>
    <w:rPr>
      <w:rFonts w:ascii="Arial Narrow" w:cs="Arial" w:eastAsia="Times New Roman" w:hAnsi="Arial Narrow"/>
      <w:smallCaps/>
      <w:noProof/>
      <w:color w:themeColor="text1" w:val="000000"/>
      <w:sz w:val="22"/>
      <w:szCs w:val="32"/>
      <w:lang w:eastAsia="fr-FR" w:val="fr-FR"/>
    </w:rPr>
  </w:style>
  <w:style w:customStyle="1" w:styleId="ParagrapheCar" w:type="character">
    <w:name w:val="Paragraphe Car"/>
    <w:basedOn w:val="DefaultParagraphFont"/>
    <w:link w:val="Paragraphe"/>
    <w:rsid w:val="00EC0B70"/>
    <w:rPr>
      <w:rFonts w:ascii="Arial Narrow" w:hAnsi="Arial Narrow"/>
      <w:noProof/>
      <w:color w:themeColor="text1" w:val="000000"/>
      <w:sz w:val="22"/>
      <w:szCs w:val="22"/>
    </w:rPr>
  </w:style>
  <w:style w:customStyle="1" w:styleId="Study2" w:type="paragraph">
    <w:name w:val="Study 2"/>
    <w:basedOn w:val="Normal"/>
    <w:rsid w:val="002F2654"/>
    <w:pPr>
      <w:spacing w:after="240" w:line="260" w:lineRule="atLeast"/>
    </w:pPr>
    <w:rPr>
      <w:rFonts w:ascii="Arial" w:cs="Arial" w:eastAsia="Times New Roman" w:hAnsi="Arial"/>
      <w:bCs/>
      <w:sz w:val="18"/>
      <w:szCs w:val="20"/>
    </w:rPr>
  </w:style>
  <w:style w:customStyle="1" w:styleId="Noraml" w:type="paragraph">
    <w:name w:val="Noraml"/>
    <w:basedOn w:val="Normal"/>
    <w:rsid w:val="002F2654"/>
    <w:pPr>
      <w:spacing w:after="240" w:line="260" w:lineRule="atLeast"/>
    </w:pPr>
    <w:rPr>
      <w:rFonts w:ascii="Arial" w:eastAsia="Times New Roman" w:hAnsi="Arial"/>
      <w:sz w:val="18"/>
      <w:szCs w:val="18"/>
    </w:rPr>
  </w:style>
  <w:style w:styleId="GridTable1Light" w:type="table">
    <w:name w:val="Grid Table 1 Light"/>
    <w:basedOn w:val="TableNormal"/>
    <w:uiPriority w:val="46"/>
    <w:rsid w:val="00FC4F4B"/>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Table3-Accent2" w:type="table">
    <w:name w:val="List Table 3 Accent 2"/>
    <w:basedOn w:val="TableNormal"/>
    <w:uiPriority w:val="48"/>
    <w:rsid w:val="00CE37B7"/>
    <w:tblPr>
      <w:tblStyleRowBandSize w:val="1"/>
      <w:tblStyleColBandSize w:val="1"/>
      <w:tblBorders>
        <w:top w:color="58585A" w:space="0" w:sz="4" w:themeColor="accent2" w:val="single"/>
        <w:left w:color="58585A" w:space="0" w:sz="4" w:themeColor="accent2" w:val="single"/>
        <w:bottom w:color="58585A" w:space="0" w:sz="4" w:themeColor="accent2" w:val="single"/>
        <w:right w:color="58585A" w:space="0" w:sz="4" w:themeColor="accent2" w:val="single"/>
      </w:tblBorders>
    </w:tblPr>
    <w:tblStylePr w:type="firstRow">
      <w:rPr>
        <w:b/>
        <w:bCs/>
        <w:color w:themeColor="background1" w:val="FFFFFF"/>
      </w:rPr>
      <w:tblPr/>
      <w:tcPr>
        <w:shd w:color="auto" w:fill="58585A" w:themeFill="accent2" w:val="clear"/>
      </w:tcPr>
    </w:tblStylePr>
    <w:tblStylePr w:type="lastRow">
      <w:rPr>
        <w:b/>
        <w:bCs/>
      </w:rPr>
      <w:tblPr/>
      <w:tcPr>
        <w:tcBorders>
          <w:top w:color="58585A"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8585A" w:space="0" w:sz="4" w:themeColor="accent2" w:val="single"/>
          <w:right w:color="58585A" w:space="0" w:sz="4" w:themeColor="accent2" w:val="single"/>
        </w:tcBorders>
      </w:tcPr>
    </w:tblStylePr>
    <w:tblStylePr w:type="band1Horz">
      <w:tblPr/>
      <w:tcPr>
        <w:tcBorders>
          <w:top w:color="58585A" w:space="0" w:sz="4" w:themeColor="accent2" w:val="single"/>
          <w:bottom w:color="58585A"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8585A" w:space="0" w:sz="4" w:themeColor="accent2" w:val="double"/>
          <w:left w:val="nil"/>
        </w:tcBorders>
      </w:tcPr>
    </w:tblStylePr>
    <w:tblStylePr w:type="swCell">
      <w:tblPr/>
      <w:tcPr>
        <w:tcBorders>
          <w:top w:color="58585A" w:space="0" w:sz="4" w:themeColor="accent2" w:val="double"/>
          <w:right w:val="nil"/>
        </w:tcBorders>
      </w:tcPr>
    </w:tblStylePr>
  </w:style>
  <w:style w:styleId="ListTable7Colorful-Accent1" w:type="table">
    <w:name w:val="List Table 7 Colorful Accent 1"/>
    <w:basedOn w:val="TableNormal"/>
    <w:uiPriority w:val="52"/>
    <w:rsid w:val="007D4BAC"/>
    <w:rPr>
      <w:color w:themeColor="accent1" w:themeShade="BF" w:val="DD1617"/>
    </w:rPr>
    <w:tblPr>
      <w:tblStyleRowBandSize w:val="1"/>
      <w:tblStyleColBandSize w:val="1"/>
    </w:tblPr>
    <w:tblStylePr w:type="firstRow">
      <w:rPr>
        <w:rFonts w:asciiTheme="majorHAnsi" w:cstheme="majorBidi" w:eastAsiaTheme="majorEastAsia" w:hAnsiTheme="majorHAnsi"/>
        <w:i/>
        <w:iCs/>
        <w:sz w:val="26"/>
      </w:rPr>
      <w:tblPr/>
      <w:tcPr>
        <w:tcBorders>
          <w:bottom w:color="EE5859"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E5859"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E5859"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E5859" w:space="0" w:sz="4" w:themeColor="accent1" w:val="single"/>
        </w:tcBorders>
        <w:shd w:color="auto" w:fill="FFFFFF" w:themeFill="background1" w:val="clear"/>
      </w:tcPr>
    </w:tblStylePr>
    <w:tblStylePr w:type="band1Vert">
      <w:tblPr/>
      <w:tcPr>
        <w:shd w:color="auto" w:fill="FBDDDD" w:themeFill="accent1" w:themeFillTint="33" w:val="clear"/>
      </w:tcPr>
    </w:tblStylePr>
    <w:tblStylePr w:type="band1Horz">
      <w:tblPr/>
      <w:tcPr>
        <w:shd w:color="auto" w:fill="FBDDDD"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NormalWeb" w:type="paragraph">
    <w:name w:val="Normal (Web)"/>
    <w:basedOn w:val="Normal"/>
    <w:uiPriority w:val="99"/>
    <w:unhideWhenUsed/>
    <w:rsid w:val="0032208C"/>
    <w:pPr>
      <w:spacing w:after="100" w:afterAutospacing="1" w:before="100" w:beforeAutospacing="1" w:line="240" w:lineRule="auto"/>
      <w:jc w:val="left"/>
    </w:pPr>
    <w:rPr>
      <w:rFonts w:ascii="Times New Roman" w:eastAsia="Times New Roman" w:hAnsi="Times New Roman"/>
      <w:sz w:val="24"/>
      <w:szCs w:val="24"/>
      <w:lang w:val="fr-FR"/>
    </w:rPr>
  </w:style>
  <w:style w:customStyle="1" w:styleId="ColorfulShading-Accent11" w:type="paragraph">
    <w:name w:val="Colorful Shading - Accent 11"/>
    <w:hidden/>
    <w:uiPriority w:val="71"/>
    <w:rsid w:val="0032208C"/>
    <w:rPr>
      <w:rFonts w:eastAsia="Calibri"/>
      <w:sz w:val="22"/>
      <w:szCs w:val="22"/>
    </w:rPr>
  </w:style>
  <w:style w:styleId="SubtleReference" w:type="character">
    <w:name w:val="Subtle Reference"/>
    <w:basedOn w:val="DefaultParagraphFont"/>
    <w:uiPriority w:val="31"/>
    <w:qFormat/>
    <w:rsid w:val="0032208C"/>
    <w:rPr>
      <w:rFonts w:ascii="Arial Narrow" w:hAnsi="Arial Narrow"/>
      <w:smallCaps/>
      <w:color w:themeColor="text1" w:themeTint="A5" w:val="5A5A5A"/>
      <w:sz w:val="20"/>
    </w:rPr>
  </w:style>
  <w:style w:customStyle="1" w:styleId="Greytitle" w:type="paragraph">
    <w:name w:val="Grey title"/>
    <w:basedOn w:val="Normal"/>
    <w:next w:val="Normal"/>
    <w:qFormat/>
    <w:rsid w:val="0032208C"/>
    <w:pPr>
      <w:keepNext/>
      <w:shd w:color="auto" w:fill="58585A" w:val="clear"/>
      <w:spacing w:before="320" w:line="240" w:lineRule="auto"/>
      <w:ind w:left="57"/>
      <w:jc w:val="left"/>
    </w:pPr>
    <w:rPr>
      <w:rFonts w:eastAsia="Calibri"/>
      <w:b/>
      <w:color w:themeColor="background1" w:val="FFFFFF"/>
    </w:rPr>
  </w:style>
  <w:style w:styleId="PageNumber" w:type="character">
    <w:name w:val="page number"/>
    <w:basedOn w:val="DefaultParagraphFont"/>
    <w:uiPriority w:val="99"/>
    <w:semiHidden/>
    <w:unhideWhenUsed/>
    <w:rsid w:val="0032208C"/>
  </w:style>
  <w:style w:styleId="PlainTable2" w:type="table">
    <w:name w:val="Plain Table 2"/>
    <w:basedOn w:val="TableNormal"/>
    <w:uiPriority w:val="42"/>
    <w:rsid w:val="003A32CB"/>
    <w:rPr>
      <w:rFonts w:asciiTheme="minorHAnsi" w:cstheme="minorBidi" w:eastAsiaTheme="minorHAnsi" w:hAnsiTheme="minorHAnsi"/>
      <w:sz w:val="22"/>
      <w:szCs w:val="22"/>
      <w:lang w:val="fr-FR"/>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TableGrid1" w:type="table">
    <w:name w:val="Table Grid1"/>
    <w:basedOn w:val="TableNormal"/>
    <w:next w:val="TableGrid"/>
    <w:uiPriority w:val="59"/>
    <w:rsid w:val="00041F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1E0BB0"/>
    <w:rPr>
      <w:color w:val="605E5C"/>
      <w:shd w:color="auto" w:fill="E1DFDD" w:val="clear"/>
    </w:rPr>
  </w:style>
  <w:style w:customStyle="1" w:styleId="cf01" w:type="character">
    <w:name w:val="cf01"/>
    <w:basedOn w:val="DefaultParagraphFont"/>
    <w:rsid w:val="009926DF"/>
    <w:rPr>
      <w:rFonts w:ascii="Segoe UI" w:cs="Segoe UI" w:hAnsi="Segoe UI" w:hint="default"/>
      <w:sz w:val="18"/>
      <w:szCs w:val="18"/>
    </w:rPr>
  </w:style>
  <w:style w:customStyle="1" w:styleId="pf0" w:type="paragraph">
    <w:name w:val="pf0"/>
    <w:basedOn w:val="Normal"/>
    <w:rsid w:val="003578E5"/>
    <w:pPr>
      <w:spacing w:after="100" w:afterAutospacing="1" w:before="100" w:beforeAutospacing="1" w:line="240" w:lineRule="auto"/>
      <w:jc w:val="left"/>
    </w:pPr>
    <w:rPr>
      <w:rFonts w:ascii="Times New Roman" w:eastAsia="Times New Roman" w:hAnsi="Times New Roman"/>
      <w:sz w:val="24"/>
      <w:szCs w:val="24"/>
      <w:lang w:eastAsia="en-CH" w:val="en-CH"/>
    </w:rPr>
  </w:style>
  <w:style w:customStyle="1" w:styleId="cf11" w:type="character">
    <w:name w:val="cf11"/>
    <w:basedOn w:val="DefaultParagraphFont"/>
    <w:rsid w:val="005D3B35"/>
    <w:rPr>
      <w:rFonts w:ascii="Segoe UI" w:cs="Segoe UI" w:hAnsi="Segoe UI" w:hint="default"/>
      <w:sz w:val="18"/>
      <w:szCs w:val="18"/>
    </w:rPr>
  </w:style>
  <w:style w:styleId="FollowedHyperlink" w:type="character">
    <w:name w:val="FollowedHyperlink"/>
    <w:basedOn w:val="DefaultParagraphFont"/>
    <w:uiPriority w:val="99"/>
    <w:semiHidden/>
    <w:unhideWhenUsed/>
    <w:rsid w:val="00F6717B"/>
    <w:rPr>
      <w:color w:themeColor="followedHyperlink" w:val="FFF67A"/>
      <w:u w:val="single"/>
    </w:rPr>
  </w:style>
  <w:style w:customStyle="1" w:styleId="Heading6Char" w:type="character">
    <w:name w:val="Heading 6 Char"/>
    <w:basedOn w:val="DefaultParagraphFont"/>
    <w:link w:val="Heading6"/>
    <w:uiPriority w:val="9"/>
    <w:rsid w:val="00C71711"/>
    <w:rPr>
      <w:rFonts w:asciiTheme="majorHAnsi" w:cstheme="majorBidi" w:eastAsiaTheme="majorEastAsia" w:hAnsiTheme="majorHAnsi"/>
      <w:color w:themeColor="accent1" w:themeShade="7F" w:val="930F0F"/>
      <w:sz w:val="22"/>
      <w:szCs w:val="22"/>
    </w:rPr>
  </w:style>
  <w:style w:customStyle="1" w:styleId="Heading7Char" w:type="character">
    <w:name w:val="Heading 7 Char"/>
    <w:basedOn w:val="DefaultParagraphFont"/>
    <w:link w:val="Heading7"/>
    <w:uiPriority w:val="9"/>
    <w:rsid w:val="00907CFC"/>
    <w:rPr>
      <w:rFonts w:asciiTheme="majorHAnsi" w:cstheme="majorBidi" w:eastAsiaTheme="majorEastAsia" w:hAnsiTheme="majorHAnsi"/>
      <w:i/>
      <w:iCs/>
      <w:color w:themeColor="accent1" w:themeShade="7F" w:val="930F0F"/>
      <w:sz w:val="22"/>
      <w:szCs w:val="22"/>
    </w:rPr>
  </w:style>
  <w:style w:customStyle="1" w:styleId="TableGrid2" w:type="table">
    <w:name w:val="Table Grid2"/>
    <w:basedOn w:val="TableNormal"/>
    <w:next w:val="TableGrid"/>
    <w:uiPriority w:val="39"/>
    <w:rsid w:val="00C54E46"/>
    <w:pPr>
      <w:spacing w:before="100"/>
    </w:pPr>
    <w:rPr>
      <w:rFonts w:ascii="Segoe UI Light" w:eastAsia="MS Mincho" w:hAnsi="Segoe UI Light"/>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662292"/>
    <w:pPr>
      <w:spacing w:after="100" w:afterAutospacing="1" w:before="100" w:beforeAutospacing="1" w:line="240" w:lineRule="auto"/>
      <w:jc w:val="left"/>
    </w:pPr>
    <w:rPr>
      <w:rFonts w:ascii="Times New Roman" w:eastAsia="Times New Roman" w:hAnsi="Times New Roman"/>
      <w:sz w:val="24"/>
      <w:szCs w:val="24"/>
    </w:rPr>
  </w:style>
  <w:style w:customStyle="1" w:styleId="Heading8Char" w:type="character">
    <w:name w:val="Heading 8 Char"/>
    <w:basedOn w:val="DefaultParagraphFont"/>
    <w:link w:val="Heading8"/>
    <w:uiPriority w:val="9"/>
    <w:rsid w:val="00931139"/>
    <w:rPr>
      <w:rFonts w:asciiTheme="majorHAnsi" w:cstheme="majorBidi" w:eastAsiaTheme="majorEastAsia" w:hAnsiTheme="majorHAnsi"/>
      <w:color w:themeColor="text1" w:themeTint="D8" w:val="272727"/>
      <w:sz w:val="21"/>
      <w:szCs w:val="21"/>
    </w:rPr>
  </w:style>
  <w:style w:customStyle="1" w:styleId="Instructions" w:type="paragraph">
    <w:name w:val="Instructions"/>
    <w:basedOn w:val="Normal"/>
    <w:link w:val="InstructionsChar"/>
    <w:qFormat/>
    <w:rsid w:val="00C37C0C"/>
    <w:pPr>
      <w:shd w:color="auto" w:fill="FFFF00" w:val="clear"/>
    </w:pPr>
    <w:rPr>
      <w:rFonts w:ascii="Arial Black" w:hAnsi="Arial Black"/>
      <w:b/>
      <w:bCs/>
      <w:sz w:val="24"/>
      <w:szCs w:val="24"/>
      <w:lang w:val="en-US"/>
    </w:rPr>
  </w:style>
  <w:style w:customStyle="1" w:styleId="InstructionsChar" w:type="character">
    <w:name w:val="Instructions Char"/>
    <w:basedOn w:val="DefaultParagraphFont"/>
    <w:link w:val="Instructions"/>
    <w:rsid w:val="00C37C0C"/>
    <w:rPr>
      <w:rFonts w:ascii="Arial Black" w:hAnsi="Arial Black"/>
      <w:b/>
      <w:bCs/>
      <w:sz w:val="24"/>
      <w:szCs w:val="24"/>
      <w:shd w:color="auto" w:fill="FFFF00" w:val="clear"/>
      <w:lang w:eastAsia="fr-F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7" Target="media/rId57.png" /><Relationship Type="http://schemas.openxmlformats.org/officeDocument/2006/relationships/image" Id="rId29" Target="media/rId29.png" /><Relationship Type="http://schemas.openxmlformats.org/officeDocument/2006/relationships/hyperlink" Id="rId99" Target="https://mhpsshub.org/wp-content/uploads/2019/05/PFA-Guide-low-res.pdf" TargetMode="External" /></Relationships>
</file>

<file path=word/_rels/footnotes.xml.rels><?xml version="1.0" encoding="UTF-8"?><Relationships xmlns="http://schemas.openxmlformats.org/package/2006/relationships"><Relationship Type="http://schemas.openxmlformats.org/officeDocument/2006/relationships/hyperlink" Id="rId99" Target="https://mhpsshub.org/wp-content/uploads/2019/05/PFA-Guide-low-res.pdf" TargetMode="External" /></Relationships>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2</Pages>
  <Words>51</Words>
  <Characters>295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2026-09-03T14:47:01Z</dcterms:created>
  <dcterms:modified xsi:type="dcterms:W3CDTF">2026-09-03T14:47:01Z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arams">
    <vt:lpwstr/>
  </property>
  <property fmtid="{D5CDD505-2E9C-101B-9397-08002B2CF9AE}" pid="11" name="toc-title">
    <vt:lpwstr>Table of contents</vt:lpwstr>
  </property>
</Properties>
</file>