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true"/>
                <w:u w:val="none"/>
                <w:sz w:val="40"/>
                <w:szCs w:val="4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40"/>
                <w:szCs w:val="40"/>
                <w:color w:val="FFFFFF"/>
              </w:rPr>
              <w:t xml:space="preserve">Terms of Reference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Integrated Public Health Rapid Assessment (IPHRA)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RC-2025-001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Switzerland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20635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1.1</w:t>
            </w:r>
          </w:p>
        </w:tc>
      </w:tr>
    </w:tbl>
    <w:p>
      <w:r>
        <w:br w:type="page"/>
      </w:r>
    </w:p>
    <w:p>
      <w:pPr>
        <w:pStyle w:val="FirstParagraph"/>
      </w:pPr>
      <w:r>
        <w:rPr>
          <w:b/>
          <w:bCs/>
        </w:rPr>
        <w:t xml:space="preserve">Table of Contents</w:t>
      </w:r>
    </w:p>
    <w:p>
      <w:r>
        <w:fldChar w:fldCharType="begin"/>
      </w:r>
      <w:r>
        <w:instrText xml:space="preserve">TOC \o "1-3" \h \z \u</w:instrText>
      </w:r>
      <w:r>
        <w:fldChar w:fldCharType="separate"/>
      </w:r>
      <w:r>
        <w:t>Right-click and update field to generate table of contents.</w:t>
      </w:r>
      <w:r>
        <w:fldChar w:fldCharType="end"/>
      </w:r>
    </w:p>
    <w:p>
      <w:pPr>
        <w:pStyle w:val="BodyText"/>
      </w:pPr>
      <w:r>
        <w:rPr>
          <w:b/>
          <w:bCs/>
        </w:rPr>
        <w:t xml:space="preserve">List of Figures</w:t>
      </w:r>
    </w:p>
    <w:p>
      <w:r>
        <w:fldChar w:fldCharType="begin"/>
      </w:r>
      <w:r>
        <w:instrText xml:space="preserve">TOC \h \z \c "Figure"</w:instrText>
      </w:r>
      <w:r>
        <w:fldChar w:fldCharType="separate"/>
      </w:r>
      <w:r>
        <w:t>Right-click and update field to generate table of figures.</w:t>
      </w:r>
      <w:r>
        <w:fldChar w:fldCharType="end"/>
      </w:r>
    </w:p>
    <w:p>
      <w:pPr>
        <w:pStyle w:val="BodyText"/>
      </w:pPr>
      <w:r>
        <w:rPr>
          <w:b/>
          <w:bCs/>
        </w:rPr>
        <w:t xml:space="preserve">List of Tables</w:t>
      </w:r>
    </w:p>
    <w:p>
      <w:r>
        <w:fldChar w:fldCharType="begin"/>
      </w:r>
      <w:r>
        <w:instrText xml:space="preserve">TOC \h \z \c "Table"</w:instrText>
      </w:r>
      <w:r>
        <w:fldChar w:fldCharType="separate"/>
      </w:r>
      <w:r>
        <w:t>Right-click and update field to generate table of tables.</w:t>
      </w:r>
      <w:r>
        <w:fldChar w:fldCharType="end"/>
      </w:r>
    </w:p>
    <w:p>
      <w:r>
        <w:br w:type="page"/>
      </w:r>
    </w:p>
    <w:bookmarkStart w:id="30" w:name="executive-summary"/>
    <w:p>
      <w:pPr>
        <w:pStyle w:val="Heading1"/>
      </w:pPr>
      <w:r>
        <w:t xml:space="preserve">1. Executive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Country of intervention</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Emergency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Crisis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Mandating Body/ Agency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IMPACT Project Code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Switzerland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Protracted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Conflict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IMPACT Initiatives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98BSY</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Geographic Coverage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Population(s)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Stratification</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Internally Displaced Persons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[Specify stratification, e.g. by geographic area, population group, etc.]</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74"/>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Rationale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Recent population movements from conflict area, populations not served.</w:t>
            </w:r>
          </w:p>
        </w:tc>
      </w:tr>
    </w:tbl>
    <w:bookmarkStart w:id="24" w:name="tools-and-methods"/>
    <w:p>
      <w:pPr>
        <w:pStyle w:val="Heading2"/>
      </w:pPr>
      <w:r>
        <w:t xml:space="preserve">1.1 Tools and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Tool</w:t>
            </w:r>
          </w:p>
        </w:tc>
        <w:tc>
          <w:tcPr>
            <w:tcBorders>
              <w:bottom w:val="single" w:sz="8" w:space="0" w:color="666666"/>
              <w:top w:val="single" w:sz="8" w:space="0" w:color="666666"/>
              <w:left w:val="none" w:sz="0" w:space="0" w:color="000000"/>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Sampling.Method</w:t>
            </w:r>
          </w:p>
        </w:tc>
        <w:tc>
          <w:tcPr>
            <w:tcBorders>
              <w:bottom w:val="single" w:sz="8" w:space="0" w:color="666666"/>
              <w:top w:val="single" w:sz="8" w:space="0" w:color="666666"/>
              <w:left w:val="none" w:sz="0" w:space="0" w:color="000000"/>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Sample.Size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tool_household_iphra_v2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systematic - systematic, proportional - systematic, simple_random - rlc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855</w:t>
            </w:r>
          </w:p>
        </w:tc>
      </w:tr>
    </w:tbl>
    <w:bookmarkEnd w:id="24"/>
    <w:bookmarkStart w:id="28" w:name="research-timeline"/>
    <w:p>
      <w:pPr>
        <w:pStyle w:val="Heading2"/>
      </w:pPr>
      <w:r>
        <w:t xml:space="preserve">1.2 Research Timeline</w:t>
      </w:r>
    </w:p>
    <w:p>
      <w:pPr>
        <w:pStyle w:val="FirstParagraph"/>
      </w:pPr>
      <w:r>
        <w:drawing>
          <wp:inline>
            <wp:extent cx="6210300" cy="1774371"/>
            <wp:effectExtent b="0" l="0" r="0" t="0"/>
            <wp:docPr descr="" title="" id="26" name="Picture"/>
            <a:graphic>
              <a:graphicData uri="http://schemas.openxmlformats.org/drawingml/2006/picture">
                <pic:pic>
                  <pic:nvPicPr>
                    <pic:cNvPr descr="quarto_doc_revised_template_files/figure-docx/timeline-1.png" id="27" name="Picture"/>
                    <pic:cNvPicPr>
                      <a:picLocks noChangeArrowheads="1" noChangeAspect="1"/>
                    </pic:cNvPicPr>
                  </pic:nvPicPr>
                  <pic:blipFill>
                    <a:blip r:embed="rId25"/>
                    <a:stretch>
                      <a:fillRect/>
                    </a:stretch>
                  </pic:blipFill>
                  <pic:spPr bwMode="auto">
                    <a:xfrm>
                      <a:off x="0" y="0"/>
                      <a:ext cx="6210300" cy="1774371"/>
                    </a:xfrm>
                    <a:prstGeom prst="rect">
                      <a:avLst/>
                    </a:prstGeom>
                    <a:noFill/>
                    <a:ln w="9525">
                      <a:noFill/>
                      <a:headEnd/>
                      <a:tailEnd/>
                    </a:ln>
                  </pic:spPr>
                </pic:pic>
              </a:graphicData>
            </a:graphic>
          </wp:inline>
        </w:drawing>
      </w:r>
    </w:p>
    <w:bookmarkEnd w:id="28"/>
    <w:bookmarkStart w:id="29" w:name="dissemination"/>
    <w:p>
      <w:pPr>
        <w:pStyle w:val="Heading2"/>
      </w:pPr>
      <w:r>
        <w:t xml:space="preserve">1.3 Dissemination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Audience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Expected Output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Dissemination Strategy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Access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Visibility</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Cluster(s)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Preliminary Presentation, Technical Report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In-Person,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r>
      <w:tr>
        <w:trPr>
          <w:trHeight w:val="360"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Brief</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Bilateral, 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Operational Actor(s)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Technical Report, Factsheet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Remote,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r>
    </w:tbl>
    <w:p>
      <w:r>
        <w:br w:type="page"/>
      </w:r>
    </w:p>
    <w:bookmarkEnd w:id="29"/>
    <w:bookmarkEnd w:id="30"/>
    <w:bookmarkStart w:id="33" w:name="rationale"/>
    <w:p>
      <w:pPr>
        <w:pStyle w:val="Heading1"/>
      </w:pPr>
      <w:r>
        <w:t xml:space="preserve">2. Rationale</w:t>
      </w:r>
    </w:p>
    <w:bookmarkStart w:id="31" w:name="background"/>
    <w:p>
      <w:pPr>
        <w:pStyle w:val="Heading2"/>
      </w:pPr>
      <w:r>
        <w:t xml:space="preserve">2.1 Background</w:t>
      </w:r>
    </w:p>
    <w:p>
      <w:pPr>
        <w:pStyle w:val="Compact"/>
        <w:numPr>
          <w:ilvl w:val="0"/>
          <w:numId w:val="1001"/>
        </w:numPr>
      </w:pPr>
      <w:r>
        <w:t xml:space="preserve">Briefly describe the context, i.e. the crisis within which the IPHRA is planned.</w:t>
      </w:r>
    </w:p>
    <w:p>
      <w:pPr>
        <w:pStyle w:val="Compact"/>
        <w:numPr>
          <w:ilvl w:val="0"/>
          <w:numId w:val="1001"/>
        </w:numPr>
      </w:pPr>
      <w:r>
        <w:t xml:space="preserve">Information gap and needs i.e. what is known so far about the severity of the public health situaiton and coverage of core public health interventions, what remains to be known and why</w:t>
      </w:r>
    </w:p>
    <w:bookmarkEnd w:id="31"/>
    <w:bookmarkStart w:id="32" w:name="intended-impact"/>
    <w:p>
      <w:pPr>
        <w:pStyle w:val="Heading2"/>
      </w:pPr>
      <w:r>
        <w:t xml:space="preserve">2.2 Intended Impact</w:t>
      </w:r>
    </w:p>
    <w:p>
      <w:pPr>
        <w:pStyle w:val="Compact"/>
        <w:numPr>
          <w:ilvl w:val="0"/>
          <w:numId w:val="1002"/>
        </w:numPr>
      </w:pPr>
      <w:r>
        <w:t xml:space="preserve">Who are the key actors/ what are the key decision-making processes and milestones this research aims to inform?</w:t>
      </w:r>
    </w:p>
    <w:p>
      <w:pPr>
        <w:pStyle w:val="Compact"/>
        <w:numPr>
          <w:ilvl w:val="0"/>
          <w:numId w:val="1002"/>
        </w:numPr>
      </w:pPr>
      <w:r>
        <w:t xml:space="preserve">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r>
        <w:br w:type="page"/>
      </w:r>
    </w:p>
    <w:bookmarkEnd w:id="32"/>
    <w:bookmarkEnd w:id="33"/>
    <w:bookmarkStart w:id="36" w:name="goals-and-objectives"/>
    <w:p>
      <w:pPr>
        <w:pStyle w:val="Heading1"/>
      </w:pPr>
      <w:r>
        <w:t xml:space="preserve">3. Goals and Objectives</w:t>
      </w:r>
    </w:p>
    <w:p>
      <w:pPr>
        <w:pStyle w:val="FirstParagraph"/>
      </w:pPr>
      <w:r>
        <w:t xml:space="preserve">Goal: To assess the severity of the public health outcomes and identify initial public health priorities for response to mitigate excess morbidity, malnutrition, and mortality.</w:t>
      </w:r>
    </w:p>
    <w:bookmarkStart w:id="35" w:name="X066adca003968c00da6447ebf13ef876c8c10ae"/>
    <w:p>
      <w:pPr>
        <w:pStyle w:val="Heading2"/>
      </w:pPr>
      <w:r>
        <w:t xml:space="preserve">3.1 Specific Objectives and Research Questions</w:t>
      </w:r>
    </w:p>
    <w:tbl>
      <w:tblPr>
        <w:tblStyle w:val="Table"/>
        <w:tblW w:type="pct" w:w="5000"/>
        <w:tblLayout w:type="fixed"/>
        <w:tblLook w:firstRow="0" w:lastRow="0" w:firstColumn="0" w:lastColumn="0" w:noHBand="0" w:noVBand="0" w:val="0000"/>
      </w:tblPr>
      <w:tblGrid>
        <w:gridCol w:w="7920"/>
      </w:tblGrid>
      <w:tr>
        <w:tc>
          <w:tcPr/>
          <w:bookmarkStart w:id="34" w:name="tbl-objectives_research_questions"/>
          <w:p>
            <w:pPr>
              <w:jc w:val="center"/>
            </w:pPr>
            <w:pPr>
              <w:jc w:val="left"/>
              <w:spacing w:before="200"/>
              <w:pStyle w:val="ImageCaption"/>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3514"/>
              <w:gridCol w:w="3514"/>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Objective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Research.Question</w:t>
                  </w:r>
                </w:p>
              </w:tc>
            </w:tr>
            <w:tr>
              <w:trPr>
                <w:trHeight w:val="360"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sex and age composition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total number of individuals in the population for assessed sites for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vulnerabilities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mortality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health needs in the population?</w:t>
                  </w:r>
                </w:p>
              </w:tc>
            </w:tr>
            <w:tr>
              <w:trPr>
                <w:trHeight w:val="360"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of health needs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health needs in the population?</w:t>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acute malnutrition in the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nutrition needs in the population?</w:t>
                  </w:r>
                </w:p>
              </w:tc>
            </w:tr>
            <w:tr>
              <w:trPr>
                <w:trHeight w:val="360" w:hRule="auto"/>
              </w:trPr>
              body 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FoodConsumption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quantity of individual 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food consumption gaps at the individual level in the population?</w:t>
                  </w:r>
                </w:p>
              </w:tc>
            </w:tr>
            <w:tr>
              <w:trPr>
                <w:trHeight w:val="360"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quality of individual 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food consumption gaps at the individual level in the population?</w:t>
                  </w:r>
                </w:p>
              </w:tc>
            </w:tr>
            <w:tr>
              <w:trPr>
                <w:trHeight w:val="360" w:hRule="auto"/>
              </w:trPr>
              body 9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quantity of individual 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water consumption gaps at the individual level?</w:t>
                  </w:r>
                </w:p>
              </w:tc>
            </w:tr>
            <w:tr>
              <w:trPr>
                <w:trHeight w:val="360" w:hRule="auto"/>
              </w:trPr>
              body10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quality of individual water consumption at point of use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water consumption gaps at the individual level?</w:t>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ExposureDisease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and access to hygienic practices in the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risk of disease exposure and transmission?</w:t>
                  </w:r>
                </w:p>
              </w:tc>
            </w:tr>
            <w:tr>
              <w:trPr>
                <w:trHeight w:val="360" w:hRule="auto"/>
              </w:trPr>
              body12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quantity  and diversity of food consumption at the household level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food consumption gaps at the household level?</w:t>
                  </w:r>
                </w:p>
              </w:tc>
            </w:tr>
            <w:tr>
              <w:trPr>
                <w:trHeight w:val="36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the level and sources of food availability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degree is food available at the household level?</w:t>
                  </w:r>
                </w:p>
              </w:tc>
            </w:tr>
            <w:tr>
              <w:trPr>
                <w:trHeight w:val="36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identify the most important household level barriers to food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food access?</w:t>
                  </w:r>
                </w:p>
              </w:tc>
            </w:tr>
            <w:tr>
              <w:trPr>
                <w:trHeight w:val="36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barriers and issues related to food utilization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food utilization?</w:t>
                  </w:r>
                </w:p>
              </w:tc>
            </w:tr>
            <w:tr>
              <w:trPr>
                <w:trHeight w:val="360" w:hRule="auto"/>
              </w:trPr>
              body16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quantity and quality of water consumed in households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water consumption gaps at the household level?</w:t>
                  </w:r>
                </w:p>
              </w:tc>
            </w:tr>
            <w:tr>
              <w:trPr>
                <w:trHeight w:val="36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and sources of water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degree is water available at the household level?</w:t>
                  </w:r>
                </w:p>
              </w:tc>
            </w:tr>
            <w:tr>
              <w:trPr>
                <w:trHeight w:val="36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identify the most important household level barriers to water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water access?</w:t>
                  </w:r>
                </w:p>
              </w:tc>
            </w:tr>
            <w:tr>
              <w:trPr>
                <w:trHeight w:val="36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barriers and issues related to water utilization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household water utilization?</w:t>
                  </w:r>
                </w:p>
              </w:tc>
            </w:tr>
            <w:tr>
              <w:trPr>
                <w:trHeight w:val="360" w:hRule="auto"/>
              </w:trPr>
              body20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and sources of household income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degree is income available at the household level?</w:t>
                  </w:r>
                </w:p>
              </w:tc>
            </w:tr>
            <w:tr>
              <w:trPr>
                <w:trHeight w:val="36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types of coping strategies available and used used to access basic goods and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coping strategies household use when they cannot meet their basic needs or access services?</w:t>
                  </w:r>
                </w:p>
              </w:tc>
            </w:tr>
            <w:tr>
              <w:trPr>
                <w:trHeight w:val="360" w:hRule="auto"/>
              </w:trPr>
              body22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LivingConditions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extent to which the target population has access to adequate shelter and items to protect against exposure to the 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do households have the adequate shelter and other means to protect themselves from exposure to the weather and environment?</w:t>
                  </w:r>
                </w:p>
              </w:tc>
            </w:tr>
            <w:tr>
              <w:trPr>
                <w:trHeight w:val="36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crowdedness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what extent does crowding present a public health threat?</w:t>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coverage of preventive and therapeutic nutrition services for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coverage of nutrition services?</w:t>
                  </w:r>
                </w:p>
              </w:tc>
            </w:tr>
            <w:tr>
              <w:trPr>
                <w:trHeight w:val="360" w:hRule="auto"/>
              </w:trPr>
              body25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coverage for the target population with preventive and/or treatment 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coverage of health services?</w:t>
                  </w:r>
                </w:p>
              </w:tc>
            </w:tr>
            <w:tr>
              <w:trPr>
                <w:trHeight w:val="360" w:hRule="auto"/>
              </w:trPr>
              body26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main access barriers related to health services for the target population (physical, financial, social)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the community accessing health services?</w:t>
                  </w:r>
                </w:p>
              </w:tc>
            </w:tr>
            <w:tr>
              <w:trPr>
                <w:trHeight w:val="360" w:hRule="auto"/>
              </w:trPr>
              body27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main issues related to utilization and care seeking behaviours for health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health services being utilized by the community?</w:t>
                  </w:r>
                </w:p>
              </w:tc>
            </w:tr>
          </w:tbl>
          <w:bookmarkEnd w:id="34"/>
        </w:tc>
      </w:tr>
    </w:tbl>
    <w:p>
      <w:r>
        <w:br w:type="page"/>
      </w:r>
    </w:p>
    <w:bookmarkEnd w:id="35"/>
    <w:bookmarkEnd w:id="36"/>
    <w:bookmarkStart w:id="57" w:name="methodology"/>
    <w:p>
      <w:pPr>
        <w:pStyle w:val="Heading1"/>
      </w:pPr>
      <w:r>
        <w:t xml:space="preserve">4. Methodology</w:t>
      </w:r>
    </w:p>
    <w:p>
      <w:pPr>
        <w:pStyle w:val="FirstParagraph"/>
      </w:pPr>
      <w:r>
        <w:t xml:space="preserve">The general research design for the Integrated Public Health Rapid Assessment (IPHRA)</w:t>
      </w:r>
      <w:r>
        <w:t xml:space="preserve"> </w:t>
      </w:r>
      <w:r>
        <w:t xml:space="preserve">(1)</w:t>
      </w:r>
      <w:r>
        <w:t xml:space="preserve"> </w:t>
      </w:r>
      <w:r>
        <w:t xml:space="preserve">will consist of a mixed-methods approach constituting three main methods: household surveys; Key Informant Interviews (KIIs); and observation checklists, each of these methods having core and supplemental specialized tools and information that can be collected.</w:t>
      </w:r>
    </w:p>
    <w:bookmarkStart w:id="37" w:name="methodology-overview"/>
    <w:p>
      <w:pPr>
        <w:pStyle w:val="Heading2"/>
      </w:pPr>
      <w:r>
        <w:t xml:space="preserve">4.1 Methodology Overview</w:t>
      </w:r>
    </w:p>
    <w:p>
      <w:pPr>
        <w:pStyle w:val="FirstParagraph"/>
      </w:pPr>
      <w:r>
        <w:t xml:space="preserve">The household survey component will consist of a two-stage approach sampling strategy with sites selected in the first stage using simple random sampling from a list of accessible sites and households selected in the second stage using systematic random sampling of households.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r>
        <w:t xml:space="preserve"> </w:t>
      </w:r>
      <w:r>
        <w:t xml:space="preserve">This methodology applies for the following strata: FALSE .</w:t>
      </w:r>
    </w:p>
    <w:bookmarkEnd w:id="37"/>
    <w:bookmarkStart w:id="38" w:name="population-of-interest"/>
    <w:p>
      <w:pPr>
        <w:pStyle w:val="Heading2"/>
      </w:pPr>
      <w:r>
        <w:t xml:space="preserve">4.2 Population of Interest</w:t>
      </w:r>
    </w:p>
    <w:p>
      <w:pPr>
        <w:pStyle w:val="FirstParagraph"/>
      </w:pPr>
      <w:r>
        <w:t xml:space="preserve">The geographic coverage of the assessment includes: [Specify geographic coverage]. The total population consists of [Specify total population size] people with approximately [Specify total population size included in the survey if different from total population size] people included in the survey and approximately [Specify total population size excluded from the survey if different from total population size] people excluded from the survey.The population will be stratified into the following strata with the following total population per stratum: strata_A (44757), strata_B (24215), strata_C (8967).</w:t>
      </w:r>
    </w:p>
    <w:p>
      <w:r>
        <w:br w:type="page"/>
      </w:r>
    </w:p>
    <w:bookmarkEnd w:id="38"/>
    <w:bookmarkStart w:id="42" w:name="secondary-data-review"/>
    <w:p>
      <w:pPr>
        <w:pStyle w:val="Heading2"/>
      </w:pPr>
      <w:r>
        <w:t xml:space="preserve">4.3 Secondary Data Review</w:t>
      </w:r>
    </w:p>
    <w:p>
      <w:pPr>
        <w:pStyle w:val="FirstParagraph"/>
      </w:pPr>
      <w:r>
        <w:t xml:space="preserve">The main assessment design is based off guidance documents and tools for Integrated Public Health Rapid Assessment (IPHRA), available on the IMPACT Intranet (soon, link to intranet). Secondly, the IPHRA toolkit is designed to align with the Acute Needs Framework (ANF) utilized by IMPACT Initiatives in their Acute Needs Analysis workstreams</w:t>
      </w:r>
      <w:r>
        <w:t xml:space="preserve"> </w:t>
      </w:r>
      <w:r>
        <w:t xml:space="preserve">(2)</w:t>
      </w:r>
      <w:r>
        <w:t xml:space="preserve">. The intention of the Secondary Data Review step is to identify existing data sources for various ANF Pillars and Sub-Pillars, and to identify data gaps which will inform the design of the primary data collection component of the IPHRA.</w:t>
      </w:r>
    </w:p>
    <w:p>
      <w:pPr>
        <w:pStyle w:val="BodyText"/>
      </w:pPr>
      <w:r>
        <w:rPr>
          <w:b/>
          <w:bCs/>
        </w:rPr>
        <w:t xml:space="preserve">Table 1. Secondary Data Sources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2592"/>
        <w:gridCol w:w="3456"/>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105</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UNHCR Population Statistics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 provide context on population movements and displacement trends.</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UNHCR Population Statistics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provide context on population movements and displacement trends.</w:t>
            </w:r>
          </w:p>
        </w:tc>
      </w:tr>
    </w:tbl>
    <w:p>
      <w:pPr>
        <w:pStyle w:val="BodyText"/>
      </w:pPr>
      <w:r>
        <w:t xml:space="preserve">See below for how the ANF framework maps against the planned primary data collection, as well as secondary data sources planned to be utilized for this assessment.</w:t>
      </w:r>
    </w:p>
    <w:p>
      <w:pPr>
        <w:pStyle w:val="BodyText"/>
      </w:pPr>
      <w:r>
        <w:rPr>
          <w:b/>
          <w:bCs/>
        </w:rPr>
        <w:t xml:space="preserve">Figure 1. Acute Needs Framework (ANF) and Data Collection Mapping</w:t>
      </w:r>
      <w:r>
        <w:t xml:space="preserve"> </w:t>
      </w:r>
      <w:r>
        <w:drawing>
          <wp:inline>
            <wp:extent cx="4968240" cy="4968240"/>
            <wp:effectExtent b="0" l="0" r="0" t="0"/>
            <wp:docPr descr="" title="" id="40" name="Picture"/>
            <a:graphic>
              <a:graphicData uri="http://schemas.openxmlformats.org/drawingml/2006/picture">
                <pic:pic>
                  <pic:nvPicPr>
                    <pic:cNvPr descr="quarto_doc_revised_template_files/figure-docx/revised_svg-1.png" id="41" name="Picture"/>
                    <pic:cNvPicPr>
                      <a:picLocks noChangeArrowheads="1" noChangeAspect="1"/>
                    </pic:cNvPicPr>
                  </pic:nvPicPr>
                  <pic:blipFill>
                    <a:blip r:embed="rId39"/>
                    <a:stretch>
                      <a:fillRect/>
                    </a:stretch>
                  </pic:blipFill>
                  <pic:spPr bwMode="auto">
                    <a:xfrm>
                      <a:off x="0" y="0"/>
                      <a:ext cx="4968240" cy="4968240"/>
                    </a:xfrm>
                    <a:prstGeom prst="rect">
                      <a:avLst/>
                    </a:prstGeom>
                    <a:noFill/>
                    <a:ln w="9525">
                      <a:noFill/>
                      <a:headEnd/>
                      <a:tailEnd/>
                    </a:ln>
                  </pic:spPr>
                </pic:pic>
              </a:graphicData>
            </a:graphic>
          </wp:inline>
        </w:drawing>
      </w:r>
    </w:p>
    <w:bookmarkEnd w:id="42"/>
    <w:bookmarkStart w:id="43" w:name="key-definitions"/>
    <w:p>
      <w:pPr>
        <w:pStyle w:val="Heading2"/>
      </w:pPr>
      <w:r>
        <w:t xml:space="preserve">4.4 Key Definitions</w:t>
      </w:r>
    </w:p>
    <w:p>
      <w:pPr>
        <w:pStyle w:val="FirstParagraph"/>
      </w:pPr>
      <w:r>
        <w:t xml:space="preserve">Within this population, specific indicators will target sub-populations. All eligible sub-populations within sampled households will be included in the survey. Sub-populations for indicators include:</w:t>
      </w:r>
    </w:p>
    <w:p>
      <w:pPr>
        <w:pStyle w:val="Compact"/>
        <w:numPr>
          <w:ilvl w:val="0"/>
          <w:numId w:val="1003"/>
        </w:numPr>
      </w:pPr>
      <w:r>
        <w:rPr>
          <w:b/>
          <w:bCs/>
        </w:rPr>
        <w:t xml:space="preserve">Household Definition:</w:t>
      </w:r>
      <w:r>
        <w:t xml:space="preserve"> </w:t>
      </w:r>
      <w:r>
        <w:t xml:space="preserve">A group of people who ate from the same cooking and slept under the same roof the previous night</w:t>
      </w:r>
    </w:p>
    <w:p>
      <w:pPr>
        <w:pStyle w:val="Compact"/>
        <w:numPr>
          <w:ilvl w:val="0"/>
          <w:numId w:val="1003"/>
        </w:numPr>
      </w:pPr>
      <w:r>
        <w:rPr>
          <w:b/>
          <w:bCs/>
        </w:rPr>
        <w:t xml:space="preserve">Global Acute Malnutrition (GAM) by MUAC:</w:t>
      </w:r>
      <w:r>
        <w:t xml:space="preserve"> </w:t>
      </w:r>
      <w:r>
        <w:t xml:space="preserve">is the prevalence of acute malnutrition, or wasting, among children 6-59 months of age, measured through oedema, or by measuring the middle-upper arm circumference (MUAC). For this assessment, all children 6-59 months in sampled households will be eligible.</w:t>
      </w:r>
    </w:p>
    <w:p>
      <w:pPr>
        <w:pStyle w:val="Compact"/>
        <w:numPr>
          <w:ilvl w:val="0"/>
          <w:numId w:val="1003"/>
        </w:numPr>
      </w:pPr>
      <w:r>
        <w:rPr>
          <w:b/>
          <w:bCs/>
        </w:rPr>
        <w:t xml:space="preserve">Mortality Rate:</w:t>
      </w:r>
      <w:r>
        <w:t xml:space="preserve"> </w:t>
      </w:r>
      <w:r>
        <w:t xml:space="preserve">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pPr>
        <w:pStyle w:val="Compact"/>
        <w:numPr>
          <w:ilvl w:val="0"/>
          <w:numId w:val="1003"/>
        </w:numPr>
      </w:pPr>
      <w:r>
        <w:rPr>
          <w:b/>
          <w:bCs/>
        </w:rPr>
        <w:t xml:space="preserve">Measles vaccination coverage:</w:t>
      </w:r>
      <w:r>
        <w:t xml:space="preserve"> </w:t>
      </w:r>
      <w:r>
        <w:t xml:space="preserve">is the proportion of children aged 9-59 months who have received at least one dose of measles-containing vaccine reported by the caregiver or confirmed by vaccination card. For this assessment, all children 9-59 months in sampled households will be eligible for inclusion.</w:t>
      </w:r>
    </w:p>
    <w:p>
      <w:pPr>
        <w:pStyle w:val="Compact"/>
        <w:numPr>
          <w:ilvl w:val="0"/>
          <w:numId w:val="1003"/>
        </w:numPr>
      </w:pPr>
      <w:r>
        <w:rPr>
          <w:b/>
          <w:bCs/>
        </w:rPr>
        <w:t xml:space="preserve">Vitamin A supplementation coverage:</w:t>
      </w:r>
      <w:r>
        <w:t xml:space="preserve"> </w:t>
      </w:r>
      <w:r>
        <w:t xml:space="preserve">is the proportion of children aged 6-59 months who have received at least one dose of vitamin A supplementation in the past six months reported by the caregiver or confirmed by card. For this assessment, all children 6-59 months in sampled households will be eligible for inclusion.</w:t>
      </w:r>
    </w:p>
    <w:p>
      <w:pPr>
        <w:pStyle w:val="Compact"/>
        <w:numPr>
          <w:ilvl w:val="0"/>
          <w:numId w:val="1003"/>
        </w:numPr>
      </w:pPr>
      <w:r>
        <w:rPr>
          <w:b/>
          <w:bCs/>
        </w:rPr>
        <w:t xml:space="preserve">Early Childhood Food Insecurity Experience Scale (ECFIES):</w:t>
      </w:r>
      <w:r>
        <w:t xml:space="preserve"> </w:t>
      </w:r>
      <w:r>
        <w:t xml:space="preserve">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pPr>
        <w:pStyle w:val="Compact"/>
        <w:numPr>
          <w:ilvl w:val="0"/>
          <w:numId w:val="1003"/>
        </w:numPr>
      </w:pPr>
      <w:r>
        <w:rPr>
          <w:b/>
          <w:bCs/>
        </w:rPr>
        <w:t xml:space="preserve">Food Consumption Score (FCS):</w:t>
      </w:r>
      <w:r>
        <w:t xml:space="preserve"> </w:t>
      </w:r>
      <w:r>
        <w:t xml:space="preserve">is a composite score based on dietary diversity, food frequency, and relative nutritional importance of different food groups consumed by the household in the past 7 days. It is calculated based on the frequency of consumption of different food groups and their assigned weights. For this assessment, all households will be eligible for inclusion.</w:t>
      </w:r>
    </w:p>
    <w:p>
      <w:pPr>
        <w:pStyle w:val="Compact"/>
        <w:numPr>
          <w:ilvl w:val="0"/>
          <w:numId w:val="1003"/>
        </w:numPr>
      </w:pPr>
      <w:r>
        <w:rPr>
          <w:b/>
          <w:bCs/>
        </w:rPr>
        <w:t xml:space="preserve">Reduced Coping Strategy Index (RCSI):</w:t>
      </w:r>
      <w:r>
        <w:t xml:space="preserve"> </w:t>
      </w:r>
      <w:r>
        <w:t xml:space="preserve">is a measure of the frequency and severity of coping strategies employed by households in response to food insecurity.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Household Hunger Scale (HHS):</w:t>
      </w:r>
      <w:r>
        <w:t xml:space="preserve"> </w:t>
      </w:r>
      <w:r>
        <w:t xml:space="preserve">is a measure of the level of hunger among households based on a set of questions about the household’s experience with hunger in the past 30 days. It categorizes households into three levels of hunger: None, Little, Moderate, Severe, and Very Severe per IPC thresholds. For this assessment, all sampled households will be eligible for inclusion.</w:t>
      </w:r>
    </w:p>
    <w:p>
      <w:pPr>
        <w:pStyle w:val="Compact"/>
        <w:numPr>
          <w:ilvl w:val="0"/>
          <w:numId w:val="1003"/>
        </w:numPr>
      </w:pPr>
      <w:r>
        <w:rPr>
          <w:b/>
          <w:bCs/>
        </w:rPr>
        <w:t xml:space="preserve">Household Dietary Diversity Score (HDDS):</w:t>
      </w:r>
      <w:r>
        <w:t xml:space="preserve"> </w:t>
      </w:r>
      <w:r>
        <w:t xml:space="preserve">is a measure of the diversity of the household’s diet based on the number of different food groups consumed by the household in the past 24 hours. It is calculated based on the number of different food groups consumed by the household. For this assessment, all sampled households will be eligible for inclusion.</w:t>
      </w:r>
    </w:p>
    <w:p>
      <w:pPr>
        <w:pStyle w:val="Compact"/>
        <w:numPr>
          <w:ilvl w:val="0"/>
          <w:numId w:val="1003"/>
        </w:numPr>
      </w:pPr>
      <w:r>
        <w:rPr>
          <w:b/>
          <w:bCs/>
        </w:rPr>
        <w:t xml:space="preserve">Livelihood Coping Strategy Index (LCSI):</w:t>
      </w:r>
      <w:r>
        <w:t xml:space="preserve"> </w:t>
      </w:r>
      <w:r>
        <w:t xml:space="preserve">is a measure of the frequency and severity of coping strategies employed by households in response to livelihood stress.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FEWSNET Food Consumption (FC) Indicator:</w:t>
      </w:r>
      <w:r>
        <w:t xml:space="preserve"> </w:t>
      </w:r>
      <w:r>
        <w:t xml:space="preserve">is a measure of the prevalence of food insecurity among households based on the FEWSNET Food Consumption (FC) indicator. It is calculated based on the severity of at least one available food consumption proxy indicator for quality (FCS, HDDS) and one for quantity (rCSI, HHS). indicators (FCS, HHS, rCSI, HDDS) their assigned weights. For this assessment, all sampled households will be eligible for inclusion.</w:t>
      </w:r>
    </w:p>
    <w:p>
      <w:pPr>
        <w:pStyle w:val="Compact"/>
        <w:numPr>
          <w:ilvl w:val="0"/>
          <w:numId w:val="1003"/>
        </w:numPr>
      </w:pPr>
      <w:r>
        <w:rPr>
          <w:b/>
          <w:bCs/>
        </w:rPr>
        <w:t xml:space="preserve">Household Water Insecurity Experience Scale (HWISE):</w:t>
      </w:r>
      <w:r>
        <w:t xml:space="preserve"> </w:t>
      </w:r>
      <w:r>
        <w:t xml:space="preserve">is a measure of the prevalence of water insecurity among households based on the Household Water Insecurity Experience Scale (HWISE). It is measured through a set of questions asked to the household about their experience with water insecurity in the past 30 days. For this assessment, all sampled households will be eligible for inclusion.</w:t>
      </w:r>
    </w:p>
    <w:p>
      <w:pPr>
        <w:pStyle w:val="Compact"/>
        <w:numPr>
          <w:ilvl w:val="0"/>
          <w:numId w:val="1003"/>
        </w:numPr>
      </w:pPr>
      <w:r>
        <w:rPr>
          <w:b/>
          <w:bCs/>
        </w:rPr>
        <w:t xml:space="preserve">Liters per person per day:</w:t>
      </w:r>
      <w:r>
        <w:t xml:space="preserve"> </w:t>
      </w:r>
      <w:r>
        <w:t xml:space="preserve">is a measure of the quantity of water available to each household member per day. It is calculated based on the total amount of water consumed by the household in the past 24 hours divided by the number of household members. For this assessment, all sampled households will be eligible for inclusion.</w:t>
      </w:r>
    </w:p>
    <w:p>
      <w:r>
        <w:br w:type="page"/>
      </w:r>
    </w:p>
    <w:bookmarkEnd w:id="43"/>
    <w:bookmarkStart w:id="49" w:name="primary-data-collection"/>
    <w:p>
      <w:pPr>
        <w:pStyle w:val="Heading2"/>
      </w:pPr>
      <w:r>
        <w:t xml:space="preserve">4.5 Primary Data Collection</w:t>
      </w:r>
    </w:p>
    <w:bookmarkStart w:id="48" w:name="household-surveys"/>
    <w:p>
      <w:pPr>
        <w:pStyle w:val="Heading3"/>
      </w:pPr>
      <w:r>
        <w:t xml:space="preserve">4.5.1 Household Surveys</w:t>
      </w:r>
    </w:p>
    <w:p>
      <w:pPr>
        <w:pStyle w:val="FirstParagraph"/>
      </w:pPr>
      <w:r>
        <w:t xml:space="preserve">There are several core and supplemental indicators within the household tool of the IPHRA toolkit. For the objectives of thisthis assessment the following are planned: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12"/>
        <w:gridCol w:w="1427"/>
        <w:gridCol w:w="6493"/>
      </w:tblGrid>
      <w:tr>
        <w:trPr>
          <w:trHeight w:val="317"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Indicator</w:t>
            </w:r>
          </w:p>
        </w:tc>
      </w:tr>
      <w:tr>
        <w:trPr>
          <w:trHeight w:val="343"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Sex Ratio</w:t>
            </w:r>
          </w:p>
        </w:tc>
      </w:tr>
      <w:tr>
        <w:trPr>
          <w:trHeight w:val="345"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Years of Age (%)</w:t>
            </w:r>
          </w:p>
        </w:tc>
      </w:tr>
      <w:tr>
        <w:trPr>
          <w:trHeight w:val="345"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Household Size (#)</w:t>
            </w:r>
          </w:p>
        </w:tc>
      </w:tr>
      <w:tr>
        <w:trPr>
          <w:trHeight w:val="345" w:hRule="auto"/>
        </w:trPr>
        body  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Mean Age (years) (#)</w:t>
            </w:r>
          </w:p>
        </w:tc>
      </w:tr>
      <w:tr>
        <w:trPr>
          <w:trHeight w:val="345"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5-year bins (%)</w:t>
            </w:r>
          </w:p>
        </w:tc>
      </w:tr>
      <w:tr>
        <w:trPr>
          <w:trHeight w:val="345"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6-month bins  (%)</w:t>
            </w:r>
          </w:p>
        </w:tc>
      </w:tr>
      <w:tr>
        <w:trPr>
          <w:trHeight w:val="345"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Elderly in the Population (%)</w:t>
            </w:r>
          </w:p>
        </w:tc>
      </w:tr>
      <w:tr>
        <w:trPr>
          <w:trHeight w:val="345"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Women of Reproductive Age in the Population (%)</w:t>
            </w:r>
          </w:p>
        </w:tc>
      </w:tr>
      <w:tr>
        <w:trPr>
          <w:trHeight w:val="345"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Population Size (#)</w:t>
            </w:r>
          </w:p>
        </w:tc>
      </w:tr>
      <w:tr>
        <w:trPr>
          <w:trHeight w:val="345" w:hRule="auto"/>
        </w:trPr>
        body 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Under-2 (#)</w:t>
            </w:r>
          </w:p>
        </w:tc>
      </w:tr>
      <w:tr>
        <w:trPr>
          <w:trHeight w:val="345" w:hRule="auto"/>
        </w:trPr>
        body 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Under-5 (#)</w:t>
            </w:r>
          </w:p>
        </w:tc>
      </w:tr>
      <w:tr>
        <w:trPr>
          <w:trHeight w:val="345" w:hRule="auto"/>
        </w:trPr>
        body 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Elderly (#)</w:t>
            </w:r>
          </w:p>
        </w:tc>
      </w:tr>
      <w:tr>
        <w:trPr>
          <w:trHeight w:val="345" w:hRule="auto"/>
        </w:trPr>
        body 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Dependency Ratio (#)</w:t>
            </w:r>
          </w:p>
        </w:tc>
      </w:tr>
      <w:tr>
        <w:trPr>
          <w:trHeight w:val="345" w:hRule="auto"/>
        </w:trPr>
        body 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Female Headed Households (%)</w:t>
            </w:r>
          </w:p>
        </w:tc>
      </w:tr>
      <w:tr>
        <w:trPr>
          <w:trHeight w:val="345" w:hRule="auto"/>
        </w:trPr>
        body 15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50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51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63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FoodConsumption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WaterConsumption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80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81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ExposureDisease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88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89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90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body109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WaterSecurity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body148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body149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body150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body169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body170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body171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LivingConditions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body178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body179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body180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body189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body199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body200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body201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body208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body209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r>
        <w:trPr>
          <w:trHeight w:val="345" w:hRule="auto"/>
        </w:trPr>
        body214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r>
        <w:trPr>
          <w:trHeight w:val="345" w:hRule="auto"/>
        </w:trPr>
        body215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bl>
    <w:bookmarkStart w:id="44" w:name="sample-size-calculations"/>
    <w:p>
      <w:pPr>
        <w:pStyle w:val="Heading4"/>
      </w:pPr>
      <w:r>
        <w:t xml:space="preserve">4.5.1.1 Sample Size Calculations</w:t>
      </w:r>
    </w:p>
    <w:p>
      <w:pPr>
        <w:pStyle w:val="FirstParagraph"/>
      </w:pPr>
      <w:r>
        <w:rPr>
          <w:b/>
          <w:bCs/>
        </w:rPr>
        <w:t xml:space="preserve">Table 2. General sample size calculation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body9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427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218</w:t>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survey for wasting_prevalence was calculated using the parameters in the table below:</w:t>
      </w:r>
    </w:p>
    <w:p>
      <w:pPr>
        <w:pStyle w:val="BodyText"/>
      </w:pPr>
      <w:r>
        <w:rPr>
          <w:b/>
          <w:bCs/>
        </w:rPr>
        <w:t xml:space="preserve">Table 3. Sample size calculation parameters for {params$ind_indicator}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Individuals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1,090</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sub-population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210</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rate survey for crude_death_rate was calculated using the parameters in the table below:</w:t>
      </w:r>
    </w:p>
    <w:p>
      <w:pPr>
        <w:pStyle w:val="BodyText"/>
      </w:pPr>
      <w:r>
        <w:rPr>
          <w:b/>
          <w:bCs/>
        </w:rPr>
        <w:t xml:space="preserve">Table 4. Sample size calculation parameters for {params$rate_indicator}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Expected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Period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size (overall)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854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342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Person-Time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76,860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30,780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Non-Respondents</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body13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183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74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bookmarkEnd w:id="44"/>
    <w:bookmarkStart w:id="45" w:name="site-selection-methods"/>
    <w:p>
      <w:pPr>
        <w:pStyle w:val="Heading4"/>
      </w:pPr>
      <w:r>
        <w:t xml:space="preserve">4.5.1.2 Site Selection Methods</w:t>
      </w:r>
    </w:p>
    <w:bookmarkEnd w:id="45"/>
    <w:bookmarkStart w:id="46" w:name="household-selection-methods"/>
    <w:p>
      <w:pPr>
        <w:pStyle w:val="Heading4"/>
      </w:pPr>
      <w:r>
        <w:t xml:space="preserve">4.5.1.3 Household Selection Methods</w:t>
      </w:r>
    </w:p>
    <w:p>
      <w:pPr>
        <w:pStyle w:val="FirstParagraph"/>
      </w:pPr>
      <w:r>
        <w:t xml:space="preserve">Within selected sites, 3 households will be selected for each site/PSU/cluster using systematic random sampling. Systematic random sampling is used when households are arranged in an ordered fashion such as rows in camps or streets and the total number of units is known.</w:t>
      </w:r>
    </w:p>
    <w:p>
      <w:pPr>
        <w:pStyle w:val="BodyText"/>
      </w:pPr>
      <w:r>
        <w:t xml:space="preserve">Systematic random sampling will be conducted with the following steps:</w:t>
      </w:r>
    </w:p>
    <w:p>
      <w:pPr>
        <w:pStyle w:val="Compact"/>
        <w:numPr>
          <w:ilvl w:val="0"/>
          <w:numId w:val="1004"/>
        </w:numPr>
      </w:pPr>
      <w:r>
        <w:rPr>
          <w:b/>
          <w:bCs/>
        </w:rPr>
        <w:t xml:space="preserve">Determining the sampling interval</w:t>
      </w:r>
      <w:r>
        <w:t xml:space="preserve"> </w:t>
      </w:r>
      <w:r>
        <w:t xml:space="preserve">– This will be estimated by dividing the total number of households in the site by the target number of households per site.</w:t>
      </w:r>
    </w:p>
    <w:p>
      <w:pPr>
        <w:pStyle w:val="Compact"/>
        <w:numPr>
          <w:ilvl w:val="1"/>
          <w:numId w:val="1005"/>
        </w:numPr>
      </w:pPr>
      <w:r>
        <w:t xml:space="preserve">E.g. 960 households total and 30 households needed means sampling interval = 960 / 30 = 32.</w:t>
      </w:r>
    </w:p>
    <w:p>
      <w:pPr>
        <w:pStyle w:val="Compact"/>
        <w:numPr>
          <w:ilvl w:val="0"/>
          <w:numId w:val="1004"/>
        </w:numPr>
      </w:pPr>
      <w:r>
        <w:rPr>
          <w:b/>
          <w:bCs/>
        </w:rPr>
        <w:t xml:space="preserve">Select the first sampling unit</w:t>
      </w:r>
      <w:r>
        <w:t xml:space="preserve"> </w:t>
      </w:r>
      <w:r>
        <w:t xml:space="preserve">– To select a random start, randomly select a number N between 1-X, with X being the sampling interval. Starting from one side of the assessment site, count to the Nth household and that will be the first interview.</w:t>
      </w:r>
    </w:p>
    <w:p>
      <w:pPr>
        <w:pStyle w:val="Compact"/>
        <w:numPr>
          <w:ilvl w:val="1"/>
          <w:numId w:val="1006"/>
        </w:numPr>
      </w:pPr>
      <w:r>
        <w:t xml:space="preserve">E.g. randomly select the number 5 between 1 and 32; the 5th household will be the first one interviewed.</w:t>
      </w:r>
    </w:p>
    <w:p>
      <w:pPr>
        <w:pStyle w:val="Compact"/>
        <w:numPr>
          <w:ilvl w:val="0"/>
          <w:numId w:val="1004"/>
        </w:numPr>
      </w:pPr>
      <w:r>
        <w:rPr>
          <w:b/>
          <w:bCs/>
        </w:rPr>
        <w:t xml:space="preserve">Select the following sampling units</w:t>
      </w:r>
      <w:r>
        <w:t xml:space="preserve"> </w:t>
      </w:r>
      <w:r>
        <w:t xml:space="preserve">– From the first household interviewed, continue moving along the ordered households counting the number of households equal to the sampling interval until you reach the next household to interview. Continue doing this until all target households have been completed.</w:t>
      </w:r>
    </w:p>
    <w:p>
      <w:pPr>
        <w:pStyle w:val="Compact"/>
        <w:numPr>
          <w:ilvl w:val="1"/>
          <w:numId w:val="1007"/>
        </w:numPr>
      </w:pPr>
      <w:r>
        <w:t xml:space="preserve">E.g. first household interviewed is #5, the 2nd household is #37 (5+32), and the 3rd household is #69 (37+32).</w:t>
      </w:r>
    </w:p>
    <w:p>
      <w:pPr>
        <w:pStyle w:val="Compact"/>
        <w:numPr>
          <w:ilvl w:val="1"/>
          <w:numId w:val="1007"/>
        </w:numPr>
      </w:pPr>
      <w:r>
        <w:t xml:space="preserve">If the sampling interval has a decimal, you may need to adjust how you count households to ensure you do not run out of households or miss households at the end of the site. The following rules can apply:</w:t>
      </w:r>
    </w:p>
    <w:p>
      <w:pPr>
        <w:pStyle w:val="Compact"/>
        <w:numPr>
          <w:ilvl w:val="2"/>
          <w:numId w:val="1008"/>
        </w:numPr>
      </w:pPr>
      <w:r>
        <w:t xml:space="preserve">Decimal between 0–0.2: round the sampling interval down. E.g. with a sampling interval of 3.2; 1st household is 5, 2nd household is 5+3=8, 3rd household is 8+3=11.</w:t>
      </w:r>
    </w:p>
    <w:p>
      <w:pPr>
        <w:pStyle w:val="Compact"/>
        <w:numPr>
          <w:ilvl w:val="2"/>
          <w:numId w:val="1008"/>
        </w:numPr>
      </w:pPr>
      <w:r>
        <w:t xml:space="preserve">Decimal between 0.3–0.7: alternate between rounding the sampling interval down and up. E.g. with a sampling interval of 3.5; 1st household is 5, 2nd household is 5+3=8, 3rd household is 8+4=12.</w:t>
      </w:r>
    </w:p>
    <w:p>
      <w:pPr>
        <w:pStyle w:val="Compact"/>
        <w:numPr>
          <w:ilvl w:val="2"/>
          <w:numId w:val="1008"/>
        </w:numPr>
      </w:pPr>
      <w:r>
        <w:t xml:space="preserve">Decimal between 0.8–0.9: round the sampling interval up. E.g. with a sampling interval of 3.9; 1st household is 5, 2nd household is 5+4=9, 3rd household is 9+4=13.</w:t>
      </w:r>
    </w:p>
    <w:p>
      <w:pPr>
        <w:pStyle w:val="FirstParagraph"/>
      </w:pPr>
      <w:r>
        <w:t xml:space="preserve">If the site has greater than 100 households, the team should segment the site into smaller manageable areas of 100 households or less. Supervisors should discuss with community leaders how best to practically split the community along roads, rivers, or other meaningful landmarks and estimate, to the best of their ability, the number of households per segment. The supervisor should then utilize PPS sampling between these segments to select the number of PSUs needed for that site.</w:t>
      </w:r>
    </w:p>
    <w:bookmarkEnd w:id="46"/>
    <w:bookmarkStart w:id="47" w:name="team-composition-training-and-planning"/>
    <w:p>
      <w:pPr>
        <w:pStyle w:val="Heading4"/>
      </w:pPr>
      <w:r>
        <w:t xml:space="preserve">4.5.1.4 Team Composition, Training and Planning</w:t>
      </w:r>
    </w:p>
    <w:p>
      <w:pPr>
        <w:pStyle w:val="FirstParagraph"/>
      </w:pPr>
      <w:r>
        <w:t xml:space="preserve">The exact composition of teams will depend on the number of tools being implemented. For household surveys, teams will consist of one field supervisor and 1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pPr>
        <w:pStyle w:val="BodyText"/>
      </w:pPr>
      <w:r>
        <w:t xml:space="preserve">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pPr>
        <w:pStyle w:val="BodyText"/>
      </w:pPr>
      <w:r>
        <w:t xml:space="preserve">An additional session will be included for training on MUAC measurements as well as a half day of training for a MUAC standardization test.An additional session will be included for training on mortality data collection and basic psychosocial first aid skills for enumerators to recognize and appropriately respond to distress during the survey.</w:t>
      </w:r>
    </w:p>
    <w:p>
      <w:pPr>
        <w:pStyle w:val="BodyText"/>
      </w:pPr>
      <w:r>
        <w:t xml:space="preserve">Field supervisors will have a key role in ensuring research quality during data collection. Key responsibilities will include:</w:t>
      </w:r>
    </w:p>
    <w:p>
      <w:pPr>
        <w:pStyle w:val="Compact"/>
        <w:numPr>
          <w:ilvl w:val="0"/>
          <w:numId w:val="1009"/>
        </w:numPr>
      </w:pPr>
      <w:r>
        <w:t xml:space="preserve">Providing daily feedback sessions to the data collection team</w:t>
      </w:r>
    </w:p>
    <w:p>
      <w:pPr>
        <w:pStyle w:val="Compact"/>
        <w:numPr>
          <w:ilvl w:val="0"/>
          <w:numId w:val="1009"/>
        </w:numPr>
      </w:pPr>
      <w:r>
        <w:t xml:space="preserve">Monitoring completion of assessment against planned targets</w:t>
      </w:r>
    </w:p>
    <w:p>
      <w:pPr>
        <w:pStyle w:val="Compact"/>
        <w:numPr>
          <w:ilvl w:val="0"/>
          <w:numId w:val="1009"/>
        </w:numPr>
      </w:pPr>
      <w:r>
        <w:t xml:space="preserve">Completing cluster control forms</w:t>
      </w:r>
    </w:p>
    <w:p>
      <w:pPr>
        <w:pStyle w:val="Compact"/>
        <w:numPr>
          <w:ilvl w:val="0"/>
          <w:numId w:val="1009"/>
        </w:numPr>
      </w:pPr>
      <w:r>
        <w:t xml:space="preserve">Ensuring proper household sampling techniques are applied</w:t>
      </w:r>
    </w:p>
    <w:p>
      <w:pPr>
        <w:pStyle w:val="Compact"/>
        <w:numPr>
          <w:ilvl w:val="0"/>
          <w:numId w:val="1009"/>
        </w:numPr>
      </w:pPr>
      <w:r>
        <w:t xml:space="preserve">Providing supportive supervision to enumerators</w:t>
      </w:r>
    </w:p>
    <w:bookmarkEnd w:id="47"/>
    <w:bookmarkEnd w:id="48"/>
    <w:bookmarkEnd w:id="49"/>
    <w:bookmarkStart w:id="55" w:name="data-processing-and-analysis"/>
    <w:p>
      <w:pPr>
        <w:pStyle w:val="Heading2"/>
      </w:pPr>
      <w:r>
        <w:t xml:space="preserve">4.6 Data Processing and Analysis</w:t>
      </w:r>
    </w:p>
    <w:p>
      <w:pPr>
        <w:pStyle w:val="FirstParagraph"/>
      </w:pPr>
      <w:r>
        <w:t xml:space="preserve">Template data collection tools with Kobo have been adapted for this assessment. Both quantitative and qualitative data will be collected using KoboCollect on Android devices and uploaded to a Kobo server.</w:t>
      </w:r>
    </w:p>
    <w:bookmarkStart w:id="52" w:name="household-survey-data"/>
    <w:p>
      <w:pPr>
        <w:pStyle w:val="Heading3"/>
      </w:pPr>
      <w:r>
        <w:t xml:space="preserve">4.6.1 Household Survey Data</w:t>
      </w:r>
    </w:p>
    <w:p>
      <w:pPr>
        <w:pStyle w:val="FirstParagraph"/>
      </w:pPr>
      <w:r>
        <w:t xml:space="preserve">Household data will be collected using a contextualized IPHRA KoboCollect tool. Cleaning, indicator calculations, and analysis will be done using a pre-prepared IPHRA application using</w:t>
      </w:r>
      <w:r>
        <w:t xml:space="preserve"> </w:t>
      </w:r>
      <w:r>
        <w:rPr>
          <w:rStyle w:val="VerbatimChar"/>
        </w:rPr>
        <w:t xml:space="preserve">r R.version.string</w:t>
      </w:r>
      <w:r>
        <w:t xml:space="preserve">.</w:t>
      </w:r>
    </w:p>
    <w:p>
      <w:pPr>
        <w:pStyle w:val="BodyText"/>
      </w:pPr>
      <w:r>
        <w:t xml:space="preserve">The household analysis will be treated as a simple random sampling design across sites without applying survey weights. An additional set of weights will be generated between strata to account for under- or over-sampling of population groups. Each set of weights will be multiplied together at the household level to generate a single set of composite weights for aggregated analysis. This analysis method applies for the following strata: {{stratified_strata_names_srs_srs}} {{stratified_strata_names_srs_systematic}} {{stratified_strata_names_systematic_srs}} {{stratified_strata_names_systematic_systematic}} .</w:t>
      </w:r>
    </w:p>
    <w:bookmarkStart w:id="50" w:name="X23065d8e22c9fad3f89fd7f53fade8ef64032a6"/>
    <w:p>
      <w:pPr>
        <w:pStyle w:val="Heading4"/>
      </w:pPr>
      <w:r>
        <w:t xml:space="preserve">4.6.1.1 Mid-Upper Arm Circumference (MUAC) Analysis</w:t>
      </w:r>
    </w:p>
    <w:p>
      <w:pPr>
        <w:pStyle w:val="FirstParagraph"/>
      </w:pPr>
      <w:r>
        <w:t xml:space="preserve">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pPr>
        <w:pStyle w:val="BodyText"/>
      </w:pPr>
      <w:r>
        <w:t xml:space="preserve">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pPr>
        <w:pStyle w:val="BodyText"/>
      </w:pPr>
      <w:r>
        <w:t xml:space="preserve">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pPr>
        <w:pStyle w:val="BodyText"/>
      </w:pPr>
      <w:r>
        <w:t xml:space="preserve">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bookmarkEnd w:id="50"/>
    <w:bookmarkStart w:id="51" w:name="mortality-rate-analysis"/>
    <w:p>
      <w:pPr>
        <w:pStyle w:val="Heading4"/>
      </w:pPr>
      <w:r>
        <w:t xml:space="preserve">4.6.1.2 Mortality Rate Analysis</w:t>
      </w:r>
    </w:p>
    <w:p>
      <w:pPr>
        <w:pStyle w:val="FirstParagraph"/>
      </w:pPr>
      <w:r>
        <w:t xml:space="preserve">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pPr>
        <w:pStyle w:val="BodyText"/>
      </w:pPr>
      <w:r>
        <w:t xml:space="preserve">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bookmarkEnd w:id="51"/>
    <w:bookmarkEnd w:id="52"/>
    <w:bookmarkStart w:id="53" w:name="key-informant-and-observation-data"/>
    <w:p>
      <w:pPr>
        <w:pStyle w:val="Heading3"/>
      </w:pPr>
      <w:r>
        <w:t xml:space="preserve">4.6.2 Key Informant and Observation Data</w:t>
      </w:r>
    </w:p>
    <w:p>
      <w:pPr>
        <w:pStyle w:val="FirstParagraph"/>
      </w:pPr>
      <w:r>
        <w:t xml:space="preserve">Community key informant interviews and community observation checklists will be qualitatively analysed using a data saturation grid, with the objectives of (a) triangulating the self-perceived needs of the population against quantitative data, and (b) attaining a better qualitative understanding of the nature of needs and barriers. The qualitative analysis uses a two-step process: 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p>
    <w:bookmarkEnd w:id="53"/>
    <w:bookmarkStart w:id="54" w:name="integrated-analysis"/>
    <w:p>
      <w:pPr>
        <w:pStyle w:val="Heading3"/>
      </w:pPr>
      <w:r>
        <w:t xml:space="preserve">4.6.3 Integrated Analysis</w:t>
      </w:r>
    </w:p>
    <w:p>
      <w:pPr>
        <w:pStyle w:val="FirstParagraph"/>
      </w:pPr>
      <w:r>
        <w:t xml:space="preserve">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pPr>
        <w:pStyle w:val="BodyText"/>
      </w:pPr>
      <w:r>
        <w:t xml:space="preserve">The integrated analysis is conducted in three steps.</w:t>
      </w:r>
    </w:p>
    <w:p>
      <w:pPr>
        <w:pStyle w:val="Compact"/>
        <w:numPr>
          <w:ilvl w:val="0"/>
          <w:numId w:val="1010"/>
        </w:numPr>
      </w:pPr>
      <w:r>
        <w:t xml:space="preserve">Assign Severity for Quantitative Household Results</w:t>
      </w:r>
    </w:p>
    <w:p>
      <w:pPr>
        <w:pStyle w:val="Compact"/>
        <w:numPr>
          <w:ilvl w:val="0"/>
          <w:numId w:val="1010"/>
        </w:numPr>
      </w:pPr>
      <w:r>
        <w:t xml:space="preserve">Assign Severity for Qualitative Key Informant and ObservationResults</w:t>
      </w:r>
    </w:p>
    <w:p>
      <w:pPr>
        <w:pStyle w:val="Compact"/>
        <w:numPr>
          <w:ilvl w:val="0"/>
          <w:numId w:val="1010"/>
        </w:numPr>
      </w:pPr>
      <w:r>
        <w:t xml:space="preserve">Assign an Overall Severity</w:t>
      </w:r>
    </w:p>
    <w:p>
      <w:pPr>
        <w:pStyle w:val="FirstParagraph"/>
      </w:pPr>
      <w:r>
        <w:t xml:space="preserve">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pPr>
        <w:pStyle w:val="BodyText"/>
      </w:pPr>
      <w:r>
        <w:rPr>
          <w:b/>
          <w:bCs/>
        </w:rPr>
        <w:t xml:space="preserve">Table 5. Example Integrated Analysis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76"/>
        <w:gridCol w:w="2125"/>
        <w:gridCol w:w="2063"/>
        <w:gridCol w:w="1236"/>
        <w:gridCol w:w="1236"/>
        <w:gridCol w:w="1236"/>
      </w:tblGrid>
      <w:tr>
        <w:trPr>
          <w:trHeight w:val="150" w:hRule="auto"/>
          <w:tblHeader/>
        </w:trPr>
        header 1
        <w:tc>
          <w:tcPr>
            <w:tcBorders>
              <w:bottom w:val="single" w:sz="8" w:space="0" w:color="666666"/>
              <w:top w:val="single" w:sz="8" w:space="0" w:color="666666"/>
              <w:left w:val="single" w:sz="8" w:space="0" w:color="666666"/>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Category</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Sub-Pillar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1</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2</w:t>
            </w:r>
          </w:p>
        </w:tc>
        <w:tc>
          <w:tcPr>
            <w:tcBorders>
              <w:bottom w:val="single" w:sz="8" w:space="0" w:color="666666"/>
              <w:top w:val="single" w:sz="8" w:space="0" w:color="666666"/>
              <w:left w:val="none" w:sz="0" w:space="0" w:color="000000"/>
              <w:right w:val="single" w:sz="8" w:space="0" w:color="666666"/>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3</w:t>
            </w:r>
          </w:p>
        </w:tc>
      </w:tr>
      <w:tr>
        <w:trPr>
          <w:trHeight w:val="269"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Outcomes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9"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Nutritional 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9"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Needs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Immediate Drivers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Exposure to 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Reproductive Numbers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body10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Food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Food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Water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Income and 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Coping Capacity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Assets</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Living 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Elements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(Community Level)</w:t>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Vectors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Livelihoods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WASH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bl>
    <w:bookmarkEnd w:id="54"/>
    <w:bookmarkEnd w:id="55"/>
    <w:bookmarkStart w:id="56" w:name="limitations"/>
    <w:p>
      <w:pPr>
        <w:pStyle w:val="Heading2"/>
      </w:pPr>
      <w:r>
        <w:t xml:space="preserve">4.7 Limitations</w:t>
      </w:r>
    </w:p>
    <w:p>
      <w:pPr>
        <w:pStyle w:val="FirstParagraph"/>
      </w:pPr>
      <w:r>
        <w:t xml:space="preserve">The IPHRA methodology is intended to be a rapid assessment toolkit to provide an indication of the most key public health outcomes and service coverage indicators compared to other more robust methods. Given the suggested IPHRA</w:t>
      </w:r>
      <w:r>
        <w:t xml:space="preserve"> </w:t>
      </w:r>
      <w:r>
        <w:t xml:space="preserve">methods, there are a few limitations to keep in mind:</w:t>
      </w:r>
    </w:p>
    <w:p>
      <w:pPr>
        <w:numPr>
          <w:ilvl w:val="0"/>
          <w:numId w:val="1011"/>
        </w:numPr>
      </w:pPr>
      <w:r>
        <w:t xml:space="preserve">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pPr>
        <w:numPr>
          <w:ilvl w:val="0"/>
          <w:numId w:val="1011"/>
        </w:numPr>
      </w:pPr>
      <w:r>
        <w:t xml:space="preserve">Likely Not Reaching Saturation – For the qualitative components, sample sizes are likely not adequate to reach a full saturation of responses in the population. The intent of these is to provide some light-touch information to triangulate with household survey results.</w:t>
      </w:r>
    </w:p>
    <w:p>
      <w:pPr>
        <w:numPr>
          <w:ilvl w:val="0"/>
          <w:numId w:val="1011"/>
        </w:numPr>
      </w:pPr>
      <w:r>
        <w:t xml:space="preserve">Accessibility – IPHRA is not a hard-to-reach methodology, and should only be applied to populations which the assessment team can physically access.</w:t>
      </w:r>
    </w:p>
    <w:p>
      <w:pPr>
        <w:numPr>
          <w:ilvl w:val="0"/>
          <w:numId w:val="1011"/>
        </w:numPr>
      </w:pPr>
      <w:r>
        <w:t xml:space="preserve">The sampling approach is not a cluster design and is intended for a more localized population, therefore the results may not be generalizable and representative of the wider population.* The indicator liters per person per day is calculated based on counting journeys to water points and estimating the amount of water collected per journey. This may not be a fully accurate representation of the actual liters per person per day consumed by the population, as it does not account for other sources of water or other factors that may influence water consumption.* The indicator Global Acute Malnutrition by MUAC is calculated based on the measurement of mid-upper arm circumference of children aged 6-59 months. This may not be a fully accurate representation of the nutritional status of the population, as it does not account for other factors measures that may signify acute malnutrition such as weight for height comparisons.* The 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r>
        <w:br w:type="page"/>
      </w:r>
    </w:p>
    <w:bookmarkEnd w:id="56"/>
    <w:bookmarkEnd w:id="57"/>
    <w:bookmarkStart w:id="58" w:name="Xd696271e174876bf1f81d89a7f173d1f7d64b55"/>
    <w:p>
      <w:pPr>
        <w:pStyle w:val="Heading1"/>
      </w:pPr>
      <w:r>
        <w:t xml:space="preserve">5. Key Ethical Considerations and Related Risks</w:t>
      </w:r>
    </w:p>
    <w:p>
      <w:pPr>
        <w:pStyle w:val="FirstParagraph"/>
      </w:pPr>
      <w:r>
        <w:t xml:space="preserve">The proposed research design meets / does not meet the following criteria:</w:t>
      </w:r>
    </w:p>
    <w:p>
      <w:pPr>
        <w:pStyle w:val="BodyText"/>
      </w:pPr>
      <w:r>
        <w:rPr>
          <w:b/>
          <w:bCs/>
        </w:rPr>
        <w:t xml:space="preserve">Table 6. Ethical Considerations and Risks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1152"/>
        <w:gridCol w:w="2448"/>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The proposed research design...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Yes/No</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Details if no (including mitigation)</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Has been coordinated with relevant stakeholders to avoid unnecessary duplication of data collection efforts?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Respects respondents, their rights and dignity (specifically by: seeking informed consent, designing length of survey/discussion while being considerate of participants’ time, ensuring accurate reporting of information provided)?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data collectors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respondents / their communities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collecting information on specific topics which may be stressful and/or re-traumatising for research participants (both respondents and data collectors)?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minors i.e. anyone less than 18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other vulnerable groups e.g. persons with disabilities, victims/survivors of protection incidents, etc.?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Follows IMPACT SOPs for management of personally identifiable information?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an anthropometric component is included (MUAC data), will a standardization test be conducted or trained measurers from local nutrition partners be involved?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 mortality component is included (crude mortality rates), will the assessment team receive any basic Psychosocial First Aid (PFA) [@pfa2018] training beforehand?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will assessment teams be aware of basic complaints and referral mechanisms in case needed during the course of the assessment?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bl>
    <w:bookmarkEnd w:id="58"/>
    <w:bookmarkStart w:id="59" w:name="roles-and-responsibilities"/>
    <w:p>
      <w:pPr>
        <w:pStyle w:val="Heading1"/>
      </w:pPr>
      <w:r>
        <w:t xml:space="preserve">6. Roles and Responsibilities</w:t>
      </w:r>
    </w:p>
    <w:p>
      <w:pPr>
        <w:pStyle w:val="SourceCode"/>
      </w:pPr>
      <w:r>
        <w:rPr>
          <w:rStyle w:val="VerbatimChar"/>
        </w:rPr>
        <w:t xml:space="preserve">**Table 7. RACI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584"/>
        <w:gridCol w:w="1584"/>
        <w:gridCol w:w="1584"/>
        <w:gridCol w:w="1584"/>
      </w:tblGrid>
      <w:tr>
        <w:trPr>
          <w:trHeight w:val="360" w:hRule="auto"/>
          <w:tblHeader/>
        </w:trPr>
        header1
        <w:tc>
          <w:tcPr>
            <w:tcBorders>
              <w:bottom w:val="single" w:sz="6"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Task Description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Responsible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Accountable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Consulted</w:t>
            </w:r>
          </w:p>
        </w:tc>
        <w:tc>
          <w:tcPr>
            <w:tcBorders>
              <w:bottom w:val="single" w:sz="6" w:space="0" w:color="000000"/>
              <w:top w:val="single" w:sz="6"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Informed</w:t>
            </w:r>
          </w:p>
        </w:tc>
      </w:tr>
      <w:tr>
        <w:trPr>
          <w:trHeight w:val="360" w:hRule="auto"/>
        </w:trPr>
        body1
        <w:tc>
          <w:tcPr>
            <w:tcBorders>
              <w:bottom w:val="none" w:sz="0"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design</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single" w:sz="6"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body2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Supervising data collection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Field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r>
      <w:tr>
        <w:trPr>
          <w:trHeight w:val="360" w:hRule="auto"/>
        </w:trPr>
        body3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processing (checking, cleaning)</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body4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body5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Output production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body6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Dissemination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Comms</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r>
      <w:tr>
        <w:trPr>
          <w:trHeight w:val="360" w:hRule="auto"/>
        </w:trPr>
        body7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Monitoring &amp; Evaluation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r>
        <w:trPr>
          <w:trHeight w:val="360" w:hRule="auto"/>
        </w:trPr>
        body8
        <w:tc>
          <w:tcPr>
            <w:tcBorders>
              <w:bottom w:val="single" w:sz="6"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Lessons learned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single" w:sz="6"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bl>
    <w:p>
      <w:r>
        <w:br w:type="page"/>
      </w:r>
    </w:p>
    <w:bookmarkEnd w:id="59"/>
    <w:bookmarkStart w:id="72" w:name="data-analysis-plan-dap"/>
    <w:p>
      <w:pPr>
        <w:pStyle w:val="Heading1"/>
      </w:pPr>
      <w:r>
        <w:t xml:space="preserve">7. Data Analysis Plan (DAP)</w:t>
      </w:r>
    </w:p>
    <w:bookmarkStart w:id="60" w:name="household-tool-dap"/>
    <w:p>
      <w:pPr>
        <w:pStyle w:val="Heading2"/>
      </w:pPr>
      <w:r>
        <w:t xml:space="preserve">7.1 Household Tool DAP</w:t>
      </w:r>
    </w:p>
    <w:p>
      <w:pPr>
        <w:pStyle w:val="FirstParagraph"/>
      </w:pPr>
      <w:r>
        <w:rPr>
          <w:b/>
          <w:bCs/>
        </w:rPr>
        <w:t xml:space="preserve">Table 8. Household Tool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date_survey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[Depending on context and assessment] Use the exact date of your recall 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write in words the recall event, and include the date under default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exact date of your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1st of the month of the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Event: ${recall_event}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Date: ${recall_date}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 [Change in the choices depending on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Admin1: [Admin 1 -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Admin2: [Admin 2 -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Admin3: [Admin 3 -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Admin4: [Admin 4 -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 my name is ______.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I work for ACTED/REACH and we are currently conducting a rapid survey to understand the needs and conditions in ___________.</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We would like to ask you a few questions about the health, nutrition, food security, water, shelter and people in your household.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The survey usually takes about 25-30 minutes to complete. Any information that you provide will be kept strictly confidential.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This is voluntary and you can choose not to answer any or all of the questions if you want; you may also choose to quit at any point. However, we hope that you will participate since your views are important.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Responses are not directly tied to any form of humanitarian assistance and answers given in this interview will not directly affect any status as a beneficiary or non-beneficiary.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have any questions?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agree to be interviewed?]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Consented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you the head of the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section will ask about the people in your household. We consider a household as those who slept under the same roof the previous night, and ate from the same cooking pot. Questions about the household will refer to this group of people.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are in your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information on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age and gender do not match the respondent's age and gender (the respondent should mention themselves first - please go back and correct).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**date of birth**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not exact date, can you estimate the **month-year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health status, and access to some health services.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Health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following questions are for the ${health_ind_sex} with age in years:  ${health_ind_age_years}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the individual had any illness or health problem in the last two weeks and needed to access health care?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symptoms did the individual have?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Fever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Diarrhoea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Cough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Fast and difficulty breathing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Eye infection or red 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Skin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Ear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Rash with raised bumps on the head, neck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food consumption in the household and food and livelihoods coping practices in the recent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Cereals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Roots or Tubers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Pulses or Legumes or Nuts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Vegetable or Leaves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Fruits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Meat or Poultry or Offal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Fish or Seafood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Milk or Dairy products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Eggs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Sugar or Sugar products or Honey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Oil or Fats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Condiments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Cereals, grains, roots and tubers (Starch)?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Pulses, Legumes, nuts?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Milk and other dairy products?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Meat, fish and egg?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Vegetables and leaves?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Fruits?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Oil, fat, butter?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Sugar, or sweet?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condiments and spices?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was there ever no food to eat of any kind in your house because of lack of resources to get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did you or any household member go to sleep at night hungry because there was not enough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did you or any household member go a whole day and night without eating anything at all because there was not enough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rely on less preferred and less expensive food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borrow food or rely on help from a relative or friend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limit portion size of meals at meal times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restrict consumption by adults in order for small children to eat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reduce number of meals eaten in a day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what was the average number of meals consumed per day by members age 5 and above?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what was the average number of meals consumed per day by members less than 5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last 7 days, did you face any barriers to consistently accessing food 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barrier faced accessing food sources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 too far from food sources/no means of transport.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Transportation to food source too expensive.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enough food is available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Damage to main source of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Security issues travelling to and from food sources.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allowed to access main food sources (cultural, social, etc. reasons)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water source does your household use for food preparations in the past 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energy source does your household use for food preparations in the past 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Firewood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Cow, camel (animal) dung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Coal (charcoal, mineral charcoal)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Electricity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Biogas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Straw or other feed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water consumption and 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main source of water used by your household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use any other sources of water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other sources of water you use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12501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the shelter.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members of your household able to cook where you live?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without any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can't do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explain why you can't cook / the issues you face for cooking?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essential household items for cooking (utensils, kitchen sets, eating sets)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access to cooking facilities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Unsafe cooking facilities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Inadequate space for cooking (leaks during rain)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space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cooking fuel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members of your household able to store food and water where you live?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without any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can't do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explain why you can't sleep / the issues you face for storing food and water?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containers/damaged containers to store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containers/damaged containers to store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space to store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space to store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Can’t store food safely / it goes bad easily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the nutrition of your children under 5, and ask to take their measurements.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Nutrition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Children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We are now asking about the feeding practices for ${child_relationship} in the household that is age ${child_age_years} and is sex: ${child_sex} Is the mother or usual caregiver for the children present and can answer questions on feeding practices?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child breastfed yesterday during the day or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reasons behind not breastfeeding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has no milk to breastfeed child/ mother is stressed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fed other breastmilk substitutes (infant formula)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fed other milk (e.g. cow milk)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Cultural barriers / child is too old to breastmilk / boys should not breastfeed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or/and child is sick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breastfeed child/ competing workload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information on importance of breastfeeding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is pregnant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Influence from other household members e.g. father/ grandmother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foods did the child consume in the last 24 hours?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Breast Milk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Grains, roots, tubers and plantains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Pulses (beans, peas, lentils), nuts and seeds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Dairy products (milk, infant formula, yogurt, cheese)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Flesh foods (meat, fish, poultry, organ meats)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Eggs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vitamin-A rich fruits and vegetables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fruits and vegetables (non- Vitamin 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challenges that your household face with the complementary feeding of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money/ financial barriers to buy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High food prices/ food is expensive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adequate information on IYCF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sick/ low appetite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Poor hygienic practices/ lack of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prepare foods for child/ household chores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care for child/ competing workload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information on importance of complementary feeding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 I would like to ask you some questions about your experiences in feeding solid or semi-solid food to [NAME OF CHILD IN ID01]. During the last 7 days (week), was there a time when: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You (the parent or caregiver) were worried that the child would not have enough food to eat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Still thinking about the last 7 days (week), was there a time when when the child was unable to eat nutritious and healthy foods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ate fewer kinds of food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skipped one or more meals in the day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Still thinking about the last 7 days (week), was there a time when your child eat less food than you (the parent or caregiver) thought the child should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household ran out of food for the child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was hungry but did not eat food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did not eat food for a whole day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leavers and death individuals for the Mortality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anyone in your household passed away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in your household have DIED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Dead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Sex:</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of birth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not known, please estimate at least the **month-year** of birth as best as possible using the local events calendar.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Conslidated date of birth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months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Re-calculated age in years for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recall 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born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between recall event and date of birth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 if born in recall period, 'n' if not born in recall period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dead person present in the household on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dead person's **date of death**?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**EXACT** date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unknown, estimate the **month-year**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Consolidated date individual died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was the main cause of death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Acute disease (malaria, fever, COVID-19, measles, cholera, diarrhoea,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Chronic disease (cancer, heart disease, diabetes, stroke,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Intentional violence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Accident/trauma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Post-partum (0-42 days)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pregnancy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 how died?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Where did the dead person pass away?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migraton or displacement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take the GPS points [Remove depending on context and security clearance]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Any final comments or observations on the needs or condition of this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Thank the respondent for their time, save and complete the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0"/>
    <w:bookmarkStart w:id="61" w:name="community-key-informant-dap"/>
    <w:p>
      <w:pPr>
        <w:pStyle w:val="Heading2"/>
      </w:pPr>
      <w:r>
        <w:t xml:space="preserve">7.2 Community Key Informant DAP</w:t>
      </w:r>
    </w:p>
    <w:bookmarkEnd w:id="61"/>
    <w:bookmarkStart w:id="62" w:name="community-observation-dap"/>
    <w:p>
      <w:pPr>
        <w:pStyle w:val="Heading2"/>
      </w:pPr>
      <w:r>
        <w:t xml:space="preserve">7.3 Community Observation DAP</w:t>
      </w:r>
    </w:p>
    <w:bookmarkEnd w:id="62"/>
    <w:bookmarkStart w:id="63" w:name="health-facility-kii-dap"/>
    <w:p>
      <w:pPr>
        <w:pStyle w:val="Heading2"/>
      </w:pPr>
      <w:r>
        <w:t xml:space="preserve">7.4 Health Facility KII DAP</w:t>
      </w:r>
    </w:p>
    <w:bookmarkEnd w:id="63"/>
    <w:bookmarkStart w:id="64" w:name="health-facility-observation-dap"/>
    <w:p>
      <w:pPr>
        <w:pStyle w:val="Heading2"/>
      </w:pPr>
      <w:r>
        <w:t xml:space="preserve">7.5 Health Facility Observation DAP</w:t>
      </w:r>
    </w:p>
    <w:bookmarkEnd w:id="64"/>
    <w:bookmarkStart w:id="65" w:name="nutrition-facility-dap"/>
    <w:p>
      <w:pPr>
        <w:pStyle w:val="Heading2"/>
      </w:pPr>
      <w:r>
        <w:t xml:space="preserve">7.6 Nutrition Facility DAP</w:t>
      </w:r>
    </w:p>
    <w:bookmarkEnd w:id="65"/>
    <w:bookmarkStart w:id="66" w:name="fsl-provider-kii-dap"/>
    <w:p>
      <w:pPr>
        <w:pStyle w:val="Heading2"/>
      </w:pPr>
      <w:r>
        <w:t xml:space="preserve">7.7 FSL Provider KII DAP</w:t>
      </w:r>
    </w:p>
    <w:bookmarkEnd w:id="66"/>
    <w:bookmarkStart w:id="67" w:name="market-kii-dap"/>
    <w:p>
      <w:pPr>
        <w:pStyle w:val="Heading2"/>
      </w:pPr>
      <w:r>
        <w:t xml:space="preserve">7.8 Market KII DAP</w:t>
      </w:r>
    </w:p>
    <w:bookmarkEnd w:id="67"/>
    <w:bookmarkStart w:id="68" w:name="crops-and-livestock-observation-dap"/>
    <w:p>
      <w:pPr>
        <w:pStyle w:val="Heading2"/>
      </w:pPr>
      <w:r>
        <w:t xml:space="preserve">7.9 Crops and Livestock Observation DAP</w:t>
      </w:r>
    </w:p>
    <w:bookmarkEnd w:id="68"/>
    <w:bookmarkStart w:id="69" w:name="wash-provider-kii-dap"/>
    <w:p>
      <w:pPr>
        <w:pStyle w:val="Heading2"/>
      </w:pPr>
      <w:r>
        <w:t xml:space="preserve">7.10 WASH Provider KII DAP</w:t>
      </w:r>
    </w:p>
    <w:bookmarkEnd w:id="69"/>
    <w:bookmarkStart w:id="70" w:name="water-point-observation-dap"/>
    <w:p>
      <w:pPr>
        <w:pStyle w:val="Heading2"/>
      </w:pPr>
      <w:r>
        <w:t xml:space="preserve">7.11 Water Point Observation DAP</w:t>
      </w:r>
    </w:p>
    <w:bookmarkEnd w:id="70"/>
    <w:bookmarkStart w:id="71" w:name="latrine-observation-dap"/>
    <w:p>
      <w:pPr>
        <w:pStyle w:val="Heading2"/>
      </w:pPr>
      <w:r>
        <w:t xml:space="preserve">7.12 Latrine Observation DAP</w:t>
      </w:r>
    </w:p>
    <w:p>
      <w:r>
        <w:br w:type="page"/>
      </w:r>
    </w:p>
    <w:bookmarkEnd w:id="71"/>
    <w:bookmarkEnd w:id="72"/>
    <w:bookmarkStart w:id="73" w:name="annex-1"/>
    <w:p>
      <w:pPr>
        <w:pStyle w:val="Heading1"/>
      </w:pPr>
      <w:r>
        <w:t xml:space="preserve">8. Annex 1</w:t>
      </w:r>
    </w:p>
    <w:p>
      <w:r>
        <w:br w:type="page"/>
      </w:r>
    </w:p>
    <w:bookmarkEnd w:id="73"/>
    <w:bookmarkStart w:id="77" w:name="references"/>
    <w:p>
      <w:pPr>
        <w:pStyle w:val="Heading1"/>
      </w:pPr>
      <w:r>
        <w:t xml:space="preserve">9. References</w:t>
      </w:r>
    </w:p>
    <w:bookmarkStart w:id="76" w:name="refs"/>
    <w:bookmarkStart w:id="74" w:name="ref-iphra2026"/>
    <w:p>
      <w:pPr>
        <w:pStyle w:val="Bibliography"/>
      </w:pPr>
      <w:r>
        <w:t xml:space="preserve">1.</w:t>
      </w:r>
      <w:r>
        <w:t xml:space="preserve"> </w:t>
      </w:r>
      <w:r>
        <w:t xml:space="preserve">	</w:t>
      </w:r>
      <w:r>
        <w:t xml:space="preserve">IMPACT Initiatives. Integrated public health rapid assessment (IPHRA) guidelines. Geneva, Switzerland: IMPACT Initiatives; 2026.</w:t>
      </w:r>
    </w:p>
    <w:bookmarkEnd w:id="74"/>
    <w:bookmarkStart w:id="75" w:name="ref-ANF2025"/>
    <w:p>
      <w:pPr>
        <w:pStyle w:val="Bibliography"/>
      </w:pPr>
      <w:r>
        <w:t xml:space="preserve">2.</w:t>
      </w:r>
      <w:r>
        <w:t xml:space="preserve"> </w:t>
      </w:r>
      <w:r>
        <w:t xml:space="preserve">	</w:t>
      </w:r>
      <w:r>
        <w:t xml:space="preserve">IMPACT Initiatives. The acute needs framework. Geneva, Switzerland: IMPACT Initiatives; 2026.</w:t>
      </w:r>
    </w:p>
    <w:bookmarkEnd w:id="75"/>
    <w:bookmarkEnd w:id="76"/>
    <w:bookmarkEnd w:id="77"/>
    <w:sectPr w:rsidR="00A841D9" w:rsidRPr="00420EF7" w:rsidSect="00420EF7">
      <w:headerReference r:id="rId11" w:type="even"/>
      <w:headerReference r:id="rId12" w:type="default"/>
      <w:footerReference r:id="rId13" w:type="default"/>
      <w:headerReference r:id="rId14" w:type="first"/>
      <w:footerReference r:id="rId15" w:type="first"/>
      <w:type w:val="continuous"/>
      <w:pgSz w:h="16838" w:w="11906"/>
      <w:pgMar w:bottom="1417" w:footer="552" w:gutter="0" w:header="720" w:left="1134" w:right="991" w:top="993"/>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E340C7">
          <w:pPr>
            <w:pStyle w:val="Footer"/>
          </w:pPr>
          <w:r w:rsidRPr="006D5060">
            <w:t>www.reach-initiative.org</w:t>
          </w:r>
        </w:p>
      </w:tc>
      <w:tc>
        <w:tcPr>
          <w:tcW w:w="4866" w:type="dxa"/>
          <w:vAlign w:val="center"/>
        </w:tcPr>
        <w:p w14:paraId="40118A05" w14:textId="25D2A32C"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512ADC94" w14:textId="773C42B2"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E340C7">
          <w:pPr>
            <w:pStyle w:val="Footer"/>
          </w:pPr>
          <w:r w:rsidRPr="006D5060">
            <w:t>www.reach-initiative.org</w:t>
          </w:r>
        </w:p>
      </w:tc>
      <w:tc>
        <w:tcPr>
          <w:tcW w:w="4866" w:type="dxa"/>
          <w:vAlign w:val="center"/>
        </w:tcPr>
        <w:p w14:paraId="0593D3C3" w14:textId="6736B1FA"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142D2BF7" w14:textId="04038558" w:rsidR="002F23CA" w:rsidRPr="006D5060" w:rsidRDefault="002F23CA" w:rsidP="00E340C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287133"/>
    <w:multiLevelType w:val="hybridMultilevel"/>
    <w:tmpl w:val="24A08F52"/>
    <w:lvl w:ilvl="0" w:tplc="14A414EE">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
    <w:nsid w:val="025A73C5"/>
    <w:multiLevelType w:val="hybridMultilevel"/>
    <w:tmpl w:val="0CC092EA"/>
    <w:lvl w:ilvl="0" w:tplc="20000001">
      <w:start w:val="1"/>
      <w:numFmt w:val="bullet"/>
      <w:lvlText w:val=""/>
      <w:lvlJc w:val="left"/>
      <w:pPr>
        <w:ind w:hanging="360" w:left="774"/>
      </w:pPr>
      <w:rPr>
        <w:rFonts w:ascii="Symbol" w:hAnsi="Symbol" w:hint="default"/>
      </w:rPr>
    </w:lvl>
    <w:lvl w:ilvl="1" w:tentative="1" w:tplc="20000003">
      <w:start w:val="1"/>
      <w:numFmt w:val="bullet"/>
      <w:lvlText w:val="o"/>
      <w:lvlJc w:val="left"/>
      <w:pPr>
        <w:ind w:hanging="360" w:left="1494"/>
      </w:pPr>
      <w:rPr>
        <w:rFonts w:ascii="Courier New" w:cs="Courier New" w:hAnsi="Courier New" w:hint="default"/>
      </w:rPr>
    </w:lvl>
    <w:lvl w:ilvl="2" w:tentative="1" w:tplc="20000005">
      <w:start w:val="1"/>
      <w:numFmt w:val="bullet"/>
      <w:lvlText w:val=""/>
      <w:lvlJc w:val="left"/>
      <w:pPr>
        <w:ind w:hanging="360" w:left="2214"/>
      </w:pPr>
      <w:rPr>
        <w:rFonts w:ascii="Wingdings" w:hAnsi="Wingdings" w:hint="default"/>
      </w:rPr>
    </w:lvl>
    <w:lvl w:ilvl="3" w:tentative="1" w:tplc="20000001">
      <w:start w:val="1"/>
      <w:numFmt w:val="bullet"/>
      <w:lvlText w:val=""/>
      <w:lvlJc w:val="left"/>
      <w:pPr>
        <w:ind w:hanging="360" w:left="2934"/>
      </w:pPr>
      <w:rPr>
        <w:rFonts w:ascii="Symbol" w:hAnsi="Symbol" w:hint="default"/>
      </w:rPr>
    </w:lvl>
    <w:lvl w:ilvl="4" w:tentative="1" w:tplc="20000003">
      <w:start w:val="1"/>
      <w:numFmt w:val="bullet"/>
      <w:lvlText w:val="o"/>
      <w:lvlJc w:val="left"/>
      <w:pPr>
        <w:ind w:hanging="360" w:left="3654"/>
      </w:pPr>
      <w:rPr>
        <w:rFonts w:ascii="Courier New" w:cs="Courier New" w:hAnsi="Courier New" w:hint="default"/>
      </w:rPr>
    </w:lvl>
    <w:lvl w:ilvl="5" w:tentative="1" w:tplc="20000005">
      <w:start w:val="1"/>
      <w:numFmt w:val="bullet"/>
      <w:lvlText w:val=""/>
      <w:lvlJc w:val="left"/>
      <w:pPr>
        <w:ind w:hanging="360" w:left="4374"/>
      </w:pPr>
      <w:rPr>
        <w:rFonts w:ascii="Wingdings" w:hAnsi="Wingdings" w:hint="default"/>
      </w:rPr>
    </w:lvl>
    <w:lvl w:ilvl="6" w:tentative="1" w:tplc="20000001">
      <w:start w:val="1"/>
      <w:numFmt w:val="bullet"/>
      <w:lvlText w:val=""/>
      <w:lvlJc w:val="left"/>
      <w:pPr>
        <w:ind w:hanging="360" w:left="5094"/>
      </w:pPr>
      <w:rPr>
        <w:rFonts w:ascii="Symbol" w:hAnsi="Symbol" w:hint="default"/>
      </w:rPr>
    </w:lvl>
    <w:lvl w:ilvl="7" w:tentative="1" w:tplc="20000003">
      <w:start w:val="1"/>
      <w:numFmt w:val="bullet"/>
      <w:lvlText w:val="o"/>
      <w:lvlJc w:val="left"/>
      <w:pPr>
        <w:ind w:hanging="360" w:left="5814"/>
      </w:pPr>
      <w:rPr>
        <w:rFonts w:ascii="Courier New" w:cs="Courier New" w:hAnsi="Courier New" w:hint="default"/>
      </w:rPr>
    </w:lvl>
    <w:lvl w:ilvl="8" w:tentative="1" w:tplc="20000005">
      <w:start w:val="1"/>
      <w:numFmt w:val="bullet"/>
      <w:lvlText w:val=""/>
      <w:lvlJc w:val="left"/>
      <w:pPr>
        <w:ind w:hanging="360" w:left="6534"/>
      </w:pPr>
      <w:rPr>
        <w:rFonts w:ascii="Wingdings" w:hAnsi="Wingdings" w:hint="default"/>
      </w:rPr>
    </w:lvl>
  </w:abstractNum>
  <w:abstractNum w15:restartNumberingAfterBreak="0" w:abstractNumId="2">
    <w:nsid w:val="099F4204"/>
    <w:multiLevelType w:val="hybridMultilevel"/>
    <w:tmpl w:val="9AFC23DC"/>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712A9A"/>
    <w:multiLevelType w:val="multilevel"/>
    <w:tmpl w:val="EE5A840A"/>
    <w:lvl w:ilvl="0">
      <w:start w:val="2"/>
      <w:numFmt w:val="decimal"/>
      <w:lvlText w:val="%1"/>
      <w:lvlJc w:val="left"/>
      <w:pPr>
        <w:ind w:hanging="360" w:left="360"/>
      </w:pPr>
      <w:rPr>
        <w:rFonts w:cstheme="majorBidi" w:eastAsiaTheme="majorEastAsia" w:hint="default"/>
        <w:b/>
        <w:sz w:val="32"/>
        <w:szCs w:val="32"/>
      </w:rPr>
    </w:lvl>
    <w:lvl w:ilvl="1">
      <w:start w:val="1"/>
      <w:numFmt w:val="decimal"/>
      <w:lvlText w:val="%1.%2"/>
      <w:lvlJc w:val="left"/>
      <w:pPr>
        <w:ind w:hanging="360" w:left="360"/>
      </w:pPr>
      <w:rPr>
        <w:rFonts w:cstheme="majorBidi" w:eastAsiaTheme="majorEastAsia" w:hint="default"/>
        <w:b/>
        <w:sz w:val="24"/>
      </w:rPr>
    </w:lvl>
    <w:lvl w:ilvl="2">
      <w:start w:val="1"/>
      <w:numFmt w:val="decimal"/>
      <w:lvlText w:val="%1.%2.%3"/>
      <w:lvlJc w:val="left"/>
      <w:pPr>
        <w:ind w:hanging="720" w:left="720"/>
      </w:pPr>
      <w:rPr>
        <w:rFonts w:cstheme="majorBidi" w:eastAsiaTheme="majorEastAsia" w:hint="default"/>
        <w:b/>
        <w:sz w:val="24"/>
      </w:rPr>
    </w:lvl>
    <w:lvl w:ilvl="3">
      <w:start w:val="1"/>
      <w:numFmt w:val="decimal"/>
      <w:lvlText w:val="%1.%2.%3.%4"/>
      <w:lvlJc w:val="left"/>
      <w:pPr>
        <w:ind w:hanging="720" w:left="720"/>
      </w:pPr>
      <w:rPr>
        <w:rFonts w:cstheme="majorBidi" w:eastAsiaTheme="majorEastAsia" w:hint="default"/>
        <w:b/>
        <w:sz w:val="24"/>
      </w:rPr>
    </w:lvl>
    <w:lvl w:ilvl="4">
      <w:start w:val="1"/>
      <w:numFmt w:val="decimal"/>
      <w:lvlText w:val="%1.%2.%3.%4.%5"/>
      <w:lvlJc w:val="left"/>
      <w:pPr>
        <w:ind w:hanging="720" w:left="720"/>
      </w:pPr>
      <w:rPr>
        <w:rFonts w:cstheme="majorBidi" w:eastAsiaTheme="majorEastAsia" w:hint="default"/>
        <w:b/>
        <w:sz w:val="24"/>
      </w:rPr>
    </w:lvl>
    <w:lvl w:ilvl="5">
      <w:start w:val="1"/>
      <w:numFmt w:val="decimal"/>
      <w:lvlText w:val="%1.%2.%3.%4.%5.%6"/>
      <w:lvlJc w:val="left"/>
      <w:pPr>
        <w:ind w:hanging="1080" w:left="1080"/>
      </w:pPr>
      <w:rPr>
        <w:rFonts w:cstheme="majorBidi" w:eastAsiaTheme="majorEastAsia" w:hint="default"/>
        <w:b/>
        <w:sz w:val="24"/>
      </w:rPr>
    </w:lvl>
    <w:lvl w:ilvl="6">
      <w:start w:val="1"/>
      <w:numFmt w:val="decimal"/>
      <w:lvlText w:val="%1.%2.%3.%4.%5.%6.%7"/>
      <w:lvlJc w:val="left"/>
      <w:pPr>
        <w:ind w:hanging="1080" w:left="1080"/>
      </w:pPr>
      <w:rPr>
        <w:rFonts w:cstheme="majorBidi" w:eastAsiaTheme="majorEastAsia" w:hint="default"/>
        <w:b/>
        <w:sz w:val="24"/>
      </w:rPr>
    </w:lvl>
    <w:lvl w:ilvl="7">
      <w:start w:val="1"/>
      <w:numFmt w:val="decimal"/>
      <w:lvlText w:val="%1.%2.%3.%4.%5.%6.%7.%8"/>
      <w:lvlJc w:val="left"/>
      <w:pPr>
        <w:ind w:hanging="1440" w:left="1440"/>
      </w:pPr>
      <w:rPr>
        <w:rFonts w:cstheme="majorBidi" w:eastAsiaTheme="majorEastAsia" w:hint="default"/>
        <w:b/>
        <w:sz w:val="24"/>
      </w:rPr>
    </w:lvl>
    <w:lvl w:ilvl="8">
      <w:start w:val="1"/>
      <w:numFmt w:val="decimal"/>
      <w:lvlText w:val="%1.%2.%3.%4.%5.%6.%7.%8.%9"/>
      <w:lvlJc w:val="left"/>
      <w:pPr>
        <w:ind w:hanging="1440" w:left="1440"/>
      </w:pPr>
      <w:rPr>
        <w:rFonts w:cstheme="majorBidi" w:eastAsiaTheme="majorEastAsia" w:hint="default"/>
        <w:b/>
        <w:sz w:val="24"/>
      </w:rPr>
    </w:lvl>
  </w:abstractNum>
  <w:abstractNum w15:restartNumberingAfterBreak="0" w:abstractNumId="4">
    <w:nsid w:val="0BB3041A"/>
    <w:multiLevelType w:val="hybridMultilevel"/>
    <w:tmpl w:val="3D369C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5">
    <w:nsid w:val="0FDB6E27"/>
    <w:multiLevelType w:val="hybridMultilevel"/>
    <w:tmpl w:val="2BA4BD1C"/>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13183BA7"/>
    <w:multiLevelType w:val="hybridMultilevel"/>
    <w:tmpl w:val="B21A134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7">
    <w:nsid w:val="17AB32EA"/>
    <w:multiLevelType w:val="hybridMultilevel"/>
    <w:tmpl w:val="B854DE4C"/>
    <w:lvl w:ilvl="0" w:tplc="B4C20C82">
      <w:start w:val="1"/>
      <w:numFmt w:val="bullet"/>
      <w:lvlText w:val=""/>
      <w:lvlJc w:val="left"/>
      <w:pPr>
        <w:ind w:hanging="360" w:left="720"/>
      </w:pPr>
      <w:rPr>
        <w:rFonts w:ascii="Symbol" w:hAnsi="Symbol" w:hint="default"/>
        <w:sz w:val="14"/>
        <w:szCs w:val="14"/>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8">
    <w:nsid w:val="183847E0"/>
    <w:multiLevelType w:val="hybridMultilevel"/>
    <w:tmpl w:val="C0A06436"/>
    <w:lvl w:ilvl="0" w:tplc="100C0003">
      <w:start w:val="1"/>
      <w:numFmt w:val="bullet"/>
      <w:lvlText w:val="o"/>
      <w:lvlJc w:val="left"/>
      <w:pPr>
        <w:ind w:hanging="360" w:left="720"/>
      </w:pPr>
      <w:rPr>
        <w:rFonts w:ascii="Courier New" w:cs="Courier New" w:hAnsi="Courier New" w:hint="default"/>
      </w:rPr>
    </w:lvl>
    <w:lvl w:ilvl="1" w:tplc="100C0001">
      <w:start w:val="1"/>
      <w:numFmt w:val="bullet"/>
      <w:lvlText w:val=""/>
      <w:lvlJc w:val="left"/>
      <w:pPr>
        <w:ind w:hanging="360" w:left="1440"/>
      </w:pPr>
      <w:rPr>
        <w:rFonts w:ascii="Symbol" w:hAnsi="Symbol"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18FF1F81"/>
    <w:multiLevelType w:val="hybridMultilevel"/>
    <w:tmpl w:val="550C1B08"/>
    <w:lvl w:ilvl="0" w:tplc="816C9E02">
      <w:start w:val="3"/>
      <w:numFmt w:val="bullet"/>
      <w:lvlText w:val="-"/>
      <w:lvlJc w:val="left"/>
      <w:pPr>
        <w:ind w:hanging="360" w:left="720"/>
      </w:pPr>
      <w:rPr>
        <w:rFonts w:ascii="Arial Narrow" w:cs="Arial" w:eastAsia="Cambria" w:hAnsi="Arial Narrow" w:hint="default"/>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0">
    <w:nsid w:val="1AC1188D"/>
    <w:multiLevelType w:val="hybridMultilevel"/>
    <w:tmpl w:val="332A3378"/>
    <w:lvl w:ilvl="0" w:tplc="2000000F">
      <w:start w:val="1"/>
      <w:numFmt w:val="decimal"/>
      <w:lvlText w:val="%1."/>
      <w:lvlJc w:val="left"/>
      <w:pPr>
        <w:ind w:hanging="360" w:left="720"/>
      </w:p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11">
    <w:nsid w:val="1AD339C3"/>
    <w:multiLevelType w:val="hybridMultilevel"/>
    <w:tmpl w:val="7ACEB50A"/>
    <w:lvl w:ilvl="0" w:tplc="100C0001">
      <w:start w:val="1"/>
      <w:numFmt w:val="bullet"/>
      <w:lvlText w:val=""/>
      <w:lvlJc w:val="left"/>
      <w:pPr>
        <w:ind w:hanging="360" w:left="1080"/>
      </w:pPr>
      <w:rPr>
        <w:rFonts w:ascii="Symbol" w:hAnsi="Symbol" w:hint="default"/>
      </w:rPr>
    </w:lvl>
    <w:lvl w:ilvl="1" w:tplc="100C0001">
      <w:start w:val="1"/>
      <w:numFmt w:val="bullet"/>
      <w:lvlText w:val=""/>
      <w:lvlJc w:val="left"/>
      <w:pPr>
        <w:ind w:hanging="360" w:left="1800"/>
      </w:pPr>
      <w:rPr>
        <w:rFonts w:ascii="Symbol" w:hAnsi="Symbol" w:hint="default"/>
      </w:rPr>
    </w:lvl>
    <w:lvl w:ilvl="2"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D475986"/>
    <w:multiLevelType w:val="hybridMultilevel"/>
    <w:tmpl w:val="163C53BC"/>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13">
    <w:nsid w:val="1E892020"/>
    <w:multiLevelType w:val="hybridMultilevel"/>
    <w:tmpl w:val="B9C0846A"/>
    <w:lvl w:ilvl="0" w:tplc="6AF831E6">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4">
    <w:nsid w:val="22042B2C"/>
    <w:multiLevelType w:val="hybridMultilevel"/>
    <w:tmpl w:val="D6A63F7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5">
    <w:nsid w:val="241A338A"/>
    <w:multiLevelType w:val="hybridMultilevel"/>
    <w:tmpl w:val="5066B1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6">
    <w:nsid w:val="27942426"/>
    <w:multiLevelType w:val="hybridMultilevel"/>
    <w:tmpl w:val="F5627380"/>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280C00F6"/>
    <w:multiLevelType w:val="hybridMultilevel"/>
    <w:tmpl w:val="F3E8BFB6"/>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8">
    <w:nsid w:val="2A6E0B0A"/>
    <w:multiLevelType w:val="hybridMultilevel"/>
    <w:tmpl w:val="90DE00E0"/>
    <w:lvl w:ilvl="0" w:tplc="CB5ADB38">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9">
    <w:nsid w:val="2C4B0635"/>
    <w:multiLevelType w:val="hybridMultilevel"/>
    <w:tmpl w:val="44A28FF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0">
    <w:nsid w:val="30043632"/>
    <w:multiLevelType w:val="hybridMultilevel"/>
    <w:tmpl w:val="96969A80"/>
    <w:lvl w:ilvl="0" w:tplc="354ACE1C">
      <w:numFmt w:val="bullet"/>
      <w:lvlText w:val="-"/>
      <w:lvlJc w:val="left"/>
      <w:pPr>
        <w:ind w:hanging="360" w:left="720"/>
      </w:pPr>
      <w:rPr>
        <w:rFonts w:ascii="Arial Narrow" w:cs="Arial" w:eastAsia="Cambria" w:hAnsi="Arial Narro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36476D8E"/>
    <w:multiLevelType w:val="hybridMultilevel"/>
    <w:tmpl w:val="DA1ABE52"/>
    <w:lvl w:ilvl="0" w:tplc="20000011">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2">
    <w:nsid w:val="38CB7CE9"/>
    <w:multiLevelType w:val="hybridMultilevel"/>
    <w:tmpl w:val="7568B224"/>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3">
    <w:nsid w:val="3BE6151C"/>
    <w:multiLevelType w:val="hybridMultilevel"/>
    <w:tmpl w:val="0F0C965C"/>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418C5E37"/>
    <w:multiLevelType w:val="hybridMultilevel"/>
    <w:tmpl w:val="449A1C1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5">
    <w:nsid w:val="43D61FFE"/>
    <w:multiLevelType w:val="hybridMultilevel"/>
    <w:tmpl w:val="EBA82138"/>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26">
    <w:nsid w:val="43DA3484"/>
    <w:multiLevelType w:val="multilevel"/>
    <w:tmpl w:val="BC6AAE9E"/>
    <w:lvl w:ilvl="0">
      <w:start w:val="3"/>
      <w:numFmt w:val="decimal"/>
      <w:lvlText w:val="%1"/>
      <w:lvlJc w:val="left"/>
      <w:pPr>
        <w:ind w:hanging="360" w:left="360"/>
      </w:pPr>
      <w:rPr>
        <w:rFonts w:cstheme="majorBidi" w:eastAsiaTheme="majorEastAsia" w:hint="default"/>
        <w:b/>
        <w:sz w:val="24"/>
      </w:rPr>
    </w:lvl>
    <w:lvl w:ilvl="1">
      <w:start w:val="1"/>
      <w:numFmt w:val="decimal"/>
      <w:lvlText w:val="%1.%2"/>
      <w:lvlJc w:val="left"/>
      <w:pPr>
        <w:ind w:hanging="360" w:left="720"/>
      </w:pPr>
      <w:rPr>
        <w:rFonts w:cstheme="majorBidi" w:eastAsiaTheme="majorEastAsia" w:hint="default"/>
        <w:b/>
        <w:color w:val="auto"/>
        <w:sz w:val="24"/>
      </w:rPr>
    </w:lvl>
    <w:lvl w:ilvl="2">
      <w:start w:val="1"/>
      <w:numFmt w:val="decimal"/>
      <w:lvlText w:val="%1.%2.%3"/>
      <w:lvlJc w:val="left"/>
      <w:pPr>
        <w:ind w:hanging="720" w:left="1440"/>
      </w:pPr>
      <w:rPr>
        <w:rFonts w:cstheme="majorBidi" w:eastAsiaTheme="majorEastAsia" w:hint="default"/>
        <w:b/>
        <w:sz w:val="24"/>
      </w:rPr>
    </w:lvl>
    <w:lvl w:ilvl="3">
      <w:start w:val="1"/>
      <w:numFmt w:val="decimal"/>
      <w:lvlText w:val="%1.%2.%3.%4"/>
      <w:lvlJc w:val="left"/>
      <w:pPr>
        <w:ind w:hanging="720" w:left="1800"/>
      </w:pPr>
      <w:rPr>
        <w:rFonts w:cstheme="majorBidi" w:eastAsiaTheme="majorEastAsia" w:hint="default"/>
        <w:b/>
        <w:sz w:val="24"/>
      </w:rPr>
    </w:lvl>
    <w:lvl w:ilvl="4">
      <w:start w:val="1"/>
      <w:numFmt w:val="decimal"/>
      <w:lvlText w:val="%1.%2.%3.%4.%5"/>
      <w:lvlJc w:val="left"/>
      <w:pPr>
        <w:ind w:hanging="720" w:left="2160"/>
      </w:pPr>
      <w:rPr>
        <w:rFonts w:cstheme="majorBidi" w:eastAsiaTheme="majorEastAsia" w:hint="default"/>
        <w:b/>
        <w:sz w:val="24"/>
      </w:rPr>
    </w:lvl>
    <w:lvl w:ilvl="5">
      <w:start w:val="1"/>
      <w:numFmt w:val="decimal"/>
      <w:lvlText w:val="%1.%2.%3.%4.%5.%6"/>
      <w:lvlJc w:val="left"/>
      <w:pPr>
        <w:ind w:hanging="1080" w:left="2880"/>
      </w:pPr>
      <w:rPr>
        <w:rFonts w:cstheme="majorBidi" w:eastAsiaTheme="majorEastAsia" w:hint="default"/>
        <w:b/>
        <w:sz w:val="24"/>
      </w:rPr>
    </w:lvl>
    <w:lvl w:ilvl="6">
      <w:start w:val="1"/>
      <w:numFmt w:val="decimal"/>
      <w:lvlText w:val="%1.%2.%3.%4.%5.%6.%7"/>
      <w:lvlJc w:val="left"/>
      <w:pPr>
        <w:ind w:hanging="1080" w:left="3240"/>
      </w:pPr>
      <w:rPr>
        <w:rFonts w:cstheme="majorBidi" w:eastAsiaTheme="majorEastAsia" w:hint="default"/>
        <w:b/>
        <w:sz w:val="24"/>
      </w:rPr>
    </w:lvl>
    <w:lvl w:ilvl="7">
      <w:start w:val="1"/>
      <w:numFmt w:val="decimal"/>
      <w:lvlText w:val="%1.%2.%3.%4.%5.%6.%7.%8"/>
      <w:lvlJc w:val="left"/>
      <w:pPr>
        <w:ind w:hanging="1440" w:left="3960"/>
      </w:pPr>
      <w:rPr>
        <w:rFonts w:cstheme="majorBidi" w:eastAsiaTheme="majorEastAsia" w:hint="default"/>
        <w:b/>
        <w:sz w:val="24"/>
      </w:rPr>
    </w:lvl>
    <w:lvl w:ilvl="8">
      <w:start w:val="1"/>
      <w:numFmt w:val="decimal"/>
      <w:lvlText w:val="%1.%2.%3.%4.%5.%6.%7.%8.%9"/>
      <w:lvlJc w:val="left"/>
      <w:pPr>
        <w:ind w:hanging="1440" w:left="4320"/>
      </w:pPr>
      <w:rPr>
        <w:rFonts w:cstheme="majorBidi" w:eastAsiaTheme="majorEastAsia" w:hint="default"/>
        <w:b/>
        <w:sz w:val="24"/>
      </w:rPr>
    </w:lvl>
  </w:abstractNum>
  <w:abstractNum w15:restartNumberingAfterBreak="0" w:abstractNumId="27">
    <w:nsid w:val="473C09DB"/>
    <w:multiLevelType w:val="hybridMultilevel"/>
    <w:tmpl w:val="4EA6885A"/>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8">
    <w:nsid w:val="48524663"/>
    <w:multiLevelType w:val="hybridMultilevel"/>
    <w:tmpl w:val="64600FE4"/>
    <w:lvl w:ilvl="0" w:tplc="01707912">
      <w:start w:val="1"/>
      <w:numFmt w:val="bullet"/>
      <w:lvlText w:val=""/>
      <w:lvlJc w:val="left"/>
      <w:pPr>
        <w:ind w:hanging="360" w:left="720"/>
      </w:pPr>
      <w:rPr>
        <w:rFonts w:ascii="Symbol" w:hAnsi="Symbol" w:hint="default"/>
        <w:color w:val="FF0000"/>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4A0A2ADC"/>
    <w:multiLevelType w:val="hybridMultilevel"/>
    <w:tmpl w:val="3B94EF14"/>
    <w:lvl w:ilvl="0" w:tplc="18D05E32">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0">
    <w:nsid w:val="4B1B18FE"/>
    <w:multiLevelType w:val="multilevel"/>
    <w:tmpl w:val="59C408E0"/>
    <w:lvl w:ilvl="0">
      <w:start w:val="1"/>
      <w:numFmt w:val="decimal"/>
      <w:lvlText w:val="%1."/>
      <w:lvlJc w:val="left"/>
      <w:pPr>
        <w:ind w:hanging="144" w:left="504"/>
      </w:pPr>
      <w:rPr>
        <w:rFonts w:hint="default"/>
      </w:rPr>
    </w:lvl>
    <w:lvl w:ilvl="1">
      <w:start w:val="2"/>
      <w:numFmt w:val="decimal"/>
      <w:isLgl/>
      <w:lvlText w:val="%1.%2"/>
      <w:lvlJc w:val="left"/>
      <w:pPr>
        <w:ind w:hanging="360" w:left="720"/>
      </w:pPr>
      <w:rPr>
        <w:rFonts w:cstheme="majorBidi" w:eastAsiaTheme="majorEastAsia" w:hint="default"/>
        <w:b/>
        <w:sz w:val="24"/>
      </w:rPr>
    </w:lvl>
    <w:lvl w:ilvl="2">
      <w:start w:val="1"/>
      <w:numFmt w:val="decimal"/>
      <w:isLgl/>
      <w:lvlText w:val="%1.%2.%3"/>
      <w:lvlJc w:val="left"/>
      <w:pPr>
        <w:ind w:hanging="720" w:left="1080"/>
      </w:pPr>
      <w:rPr>
        <w:rFonts w:cstheme="majorBidi" w:eastAsiaTheme="majorEastAsia" w:hint="default"/>
        <w:b/>
        <w:sz w:val="24"/>
      </w:rPr>
    </w:lvl>
    <w:lvl w:ilvl="3">
      <w:start w:val="1"/>
      <w:numFmt w:val="decimal"/>
      <w:isLgl/>
      <w:lvlText w:val="%1.%2.%3.%4"/>
      <w:lvlJc w:val="left"/>
      <w:pPr>
        <w:ind w:hanging="720" w:left="1080"/>
      </w:pPr>
      <w:rPr>
        <w:rFonts w:cstheme="majorBidi" w:eastAsiaTheme="majorEastAsia" w:hint="default"/>
        <w:b/>
        <w:sz w:val="24"/>
      </w:rPr>
    </w:lvl>
    <w:lvl w:ilvl="4">
      <w:start w:val="1"/>
      <w:numFmt w:val="decimal"/>
      <w:isLgl/>
      <w:lvlText w:val="%1.%2.%3.%4.%5"/>
      <w:lvlJc w:val="left"/>
      <w:pPr>
        <w:ind w:hanging="720" w:left="1080"/>
      </w:pPr>
      <w:rPr>
        <w:rFonts w:cstheme="majorBidi" w:eastAsiaTheme="majorEastAsia" w:hint="default"/>
        <w:b/>
        <w:sz w:val="24"/>
      </w:rPr>
    </w:lvl>
    <w:lvl w:ilvl="5">
      <w:start w:val="1"/>
      <w:numFmt w:val="decimal"/>
      <w:isLgl/>
      <w:lvlText w:val="%1.%2.%3.%4.%5.%6"/>
      <w:lvlJc w:val="left"/>
      <w:pPr>
        <w:ind w:hanging="1080" w:left="1440"/>
      </w:pPr>
      <w:rPr>
        <w:rFonts w:cstheme="majorBidi" w:eastAsiaTheme="majorEastAsia" w:hint="default"/>
        <w:b/>
        <w:sz w:val="24"/>
      </w:rPr>
    </w:lvl>
    <w:lvl w:ilvl="6">
      <w:start w:val="1"/>
      <w:numFmt w:val="decimal"/>
      <w:isLgl/>
      <w:lvlText w:val="%1.%2.%3.%4.%5.%6.%7"/>
      <w:lvlJc w:val="left"/>
      <w:pPr>
        <w:ind w:hanging="1080" w:left="1440"/>
      </w:pPr>
      <w:rPr>
        <w:rFonts w:cstheme="majorBidi" w:eastAsiaTheme="majorEastAsia" w:hint="default"/>
        <w:b/>
        <w:sz w:val="24"/>
      </w:rPr>
    </w:lvl>
    <w:lvl w:ilvl="7">
      <w:start w:val="1"/>
      <w:numFmt w:val="decimal"/>
      <w:isLgl/>
      <w:lvlText w:val="%1.%2.%3.%4.%5.%6.%7.%8"/>
      <w:lvlJc w:val="left"/>
      <w:pPr>
        <w:ind w:hanging="1440" w:left="1800"/>
      </w:pPr>
      <w:rPr>
        <w:rFonts w:cstheme="majorBidi" w:eastAsiaTheme="majorEastAsia" w:hint="default"/>
        <w:b/>
        <w:sz w:val="24"/>
      </w:rPr>
    </w:lvl>
    <w:lvl w:ilvl="8">
      <w:start w:val="1"/>
      <w:numFmt w:val="decimal"/>
      <w:isLgl/>
      <w:lvlText w:val="%1.%2.%3.%4.%5.%6.%7.%8.%9"/>
      <w:lvlJc w:val="left"/>
      <w:pPr>
        <w:ind w:hanging="1440" w:left="1800"/>
      </w:pPr>
      <w:rPr>
        <w:rFonts w:cstheme="majorBidi" w:eastAsiaTheme="majorEastAsia" w:hint="default"/>
        <w:b/>
        <w:sz w:val="24"/>
      </w:rPr>
    </w:lvl>
  </w:abstractNum>
  <w:abstractNum w15:restartNumberingAfterBreak="0" w:abstractNumId="31">
    <w:nsid w:val="53A36BDF"/>
    <w:multiLevelType w:val="hybridMultilevel"/>
    <w:tmpl w:val="1C9624B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2">
    <w:nsid w:val="55C36E25"/>
    <w:multiLevelType w:val="hybridMultilevel"/>
    <w:tmpl w:val="9800BF92"/>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3">
    <w:nsid w:val="567800D5"/>
    <w:multiLevelType w:val="hybridMultilevel"/>
    <w:tmpl w:val="9744898A"/>
    <w:lvl w:ilvl="0" w:tplc="5BE4B81C">
      <w:start w:val="1"/>
      <w:numFmt w:val="decimal"/>
      <w:lvlText w:val="%1."/>
      <w:lvlJc w:val="left"/>
      <w:pPr>
        <w:ind w:hanging="360" w:left="864"/>
      </w:pPr>
      <w:rPr>
        <w:rFonts w:hint="default"/>
      </w:rPr>
    </w:lvl>
    <w:lvl w:ilvl="1" w:tentative="1" w:tplc="20000019">
      <w:start w:val="1"/>
      <w:numFmt w:val="lowerLetter"/>
      <w:lvlText w:val="%2."/>
      <w:lvlJc w:val="left"/>
      <w:pPr>
        <w:ind w:hanging="360" w:left="1584"/>
      </w:pPr>
    </w:lvl>
    <w:lvl w:ilvl="2" w:tentative="1" w:tplc="2000001B">
      <w:start w:val="1"/>
      <w:numFmt w:val="lowerRoman"/>
      <w:lvlText w:val="%3."/>
      <w:lvlJc w:val="right"/>
      <w:pPr>
        <w:ind w:hanging="180" w:left="2304"/>
      </w:pPr>
    </w:lvl>
    <w:lvl w:ilvl="3" w:tentative="1" w:tplc="2000000F">
      <w:start w:val="1"/>
      <w:numFmt w:val="decimal"/>
      <w:lvlText w:val="%4."/>
      <w:lvlJc w:val="left"/>
      <w:pPr>
        <w:ind w:hanging="360" w:left="3024"/>
      </w:pPr>
    </w:lvl>
    <w:lvl w:ilvl="4" w:tentative="1" w:tplc="20000019">
      <w:start w:val="1"/>
      <w:numFmt w:val="lowerLetter"/>
      <w:lvlText w:val="%5."/>
      <w:lvlJc w:val="left"/>
      <w:pPr>
        <w:ind w:hanging="360" w:left="3744"/>
      </w:pPr>
    </w:lvl>
    <w:lvl w:ilvl="5" w:tentative="1" w:tplc="2000001B">
      <w:start w:val="1"/>
      <w:numFmt w:val="lowerRoman"/>
      <w:lvlText w:val="%6."/>
      <w:lvlJc w:val="right"/>
      <w:pPr>
        <w:ind w:hanging="180" w:left="4464"/>
      </w:pPr>
    </w:lvl>
    <w:lvl w:ilvl="6" w:tentative="1" w:tplc="2000000F">
      <w:start w:val="1"/>
      <w:numFmt w:val="decimal"/>
      <w:lvlText w:val="%7."/>
      <w:lvlJc w:val="left"/>
      <w:pPr>
        <w:ind w:hanging="360" w:left="5184"/>
      </w:pPr>
    </w:lvl>
    <w:lvl w:ilvl="7" w:tentative="1" w:tplc="20000019">
      <w:start w:val="1"/>
      <w:numFmt w:val="lowerLetter"/>
      <w:lvlText w:val="%8."/>
      <w:lvlJc w:val="left"/>
      <w:pPr>
        <w:ind w:hanging="360" w:left="5904"/>
      </w:pPr>
    </w:lvl>
    <w:lvl w:ilvl="8" w:tentative="1" w:tplc="2000001B">
      <w:start w:val="1"/>
      <w:numFmt w:val="lowerRoman"/>
      <w:lvlText w:val="%9."/>
      <w:lvlJc w:val="right"/>
      <w:pPr>
        <w:ind w:hanging="180" w:left="6624"/>
      </w:pPr>
    </w:lvl>
  </w:abstractNum>
  <w:abstractNum w15:restartNumberingAfterBreak="0" w:abstractNumId="34">
    <w:nsid w:val="59124C71"/>
    <w:multiLevelType w:val="hybridMultilevel"/>
    <w:tmpl w:val="7DCA5274"/>
    <w:lvl w:ilvl="0" w:tplc="2000000F">
      <w:start w:val="1"/>
      <w:numFmt w:val="decimal"/>
      <w:lvlText w:val="%1."/>
      <w:lvlJc w:val="left"/>
      <w:pPr>
        <w:ind w:hanging="360" w:left="1224"/>
      </w:pPr>
    </w:lvl>
    <w:lvl w:ilvl="1" w:tentative="1" w:tplc="20000019">
      <w:start w:val="1"/>
      <w:numFmt w:val="lowerLetter"/>
      <w:lvlText w:val="%2."/>
      <w:lvlJc w:val="left"/>
      <w:pPr>
        <w:ind w:hanging="360" w:left="1944"/>
      </w:pPr>
    </w:lvl>
    <w:lvl w:ilvl="2" w:tentative="1" w:tplc="2000001B">
      <w:start w:val="1"/>
      <w:numFmt w:val="lowerRoman"/>
      <w:lvlText w:val="%3."/>
      <w:lvlJc w:val="right"/>
      <w:pPr>
        <w:ind w:hanging="180" w:left="2664"/>
      </w:pPr>
    </w:lvl>
    <w:lvl w:ilvl="3" w:tentative="1" w:tplc="2000000F">
      <w:start w:val="1"/>
      <w:numFmt w:val="decimal"/>
      <w:lvlText w:val="%4."/>
      <w:lvlJc w:val="left"/>
      <w:pPr>
        <w:ind w:hanging="360" w:left="3384"/>
      </w:pPr>
    </w:lvl>
    <w:lvl w:ilvl="4" w:tentative="1" w:tplc="20000019">
      <w:start w:val="1"/>
      <w:numFmt w:val="lowerLetter"/>
      <w:lvlText w:val="%5."/>
      <w:lvlJc w:val="left"/>
      <w:pPr>
        <w:ind w:hanging="360" w:left="4104"/>
      </w:pPr>
    </w:lvl>
    <w:lvl w:ilvl="5" w:tentative="1" w:tplc="2000001B">
      <w:start w:val="1"/>
      <w:numFmt w:val="lowerRoman"/>
      <w:lvlText w:val="%6."/>
      <w:lvlJc w:val="right"/>
      <w:pPr>
        <w:ind w:hanging="180" w:left="4824"/>
      </w:pPr>
    </w:lvl>
    <w:lvl w:ilvl="6" w:tentative="1" w:tplc="2000000F">
      <w:start w:val="1"/>
      <w:numFmt w:val="decimal"/>
      <w:lvlText w:val="%7."/>
      <w:lvlJc w:val="left"/>
      <w:pPr>
        <w:ind w:hanging="360" w:left="5544"/>
      </w:pPr>
    </w:lvl>
    <w:lvl w:ilvl="7" w:tentative="1" w:tplc="20000019">
      <w:start w:val="1"/>
      <w:numFmt w:val="lowerLetter"/>
      <w:lvlText w:val="%8."/>
      <w:lvlJc w:val="left"/>
      <w:pPr>
        <w:ind w:hanging="360" w:left="6264"/>
      </w:pPr>
    </w:lvl>
    <w:lvl w:ilvl="8" w:tentative="1" w:tplc="2000001B">
      <w:start w:val="1"/>
      <w:numFmt w:val="lowerRoman"/>
      <w:lvlText w:val="%9."/>
      <w:lvlJc w:val="right"/>
      <w:pPr>
        <w:ind w:hanging="180" w:left="6984"/>
      </w:pPr>
    </w:lvl>
  </w:abstractNum>
  <w:abstractNum w15:restartNumberingAfterBreak="0" w:abstractNumId="35">
    <w:nsid w:val="59DB6789"/>
    <w:multiLevelType w:val="hybridMultilevel"/>
    <w:tmpl w:val="6D68D0B6"/>
    <w:lvl w:ilvl="0" w:tplc="20000003">
      <w:start w:val="1"/>
      <w:numFmt w:val="bullet"/>
      <w:lvlText w:val="o"/>
      <w:lvlJc w:val="left"/>
      <w:pPr>
        <w:ind w:hanging="360" w:left="1080"/>
      </w:pPr>
      <w:rPr>
        <w:rFonts w:ascii="Courier New" w:cs="Courier New" w:hAnsi="Courier New" w:hint="default"/>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6">
    <w:nsid w:val="5F3C39A3"/>
    <w:multiLevelType w:val="hybridMultilevel"/>
    <w:tmpl w:val="E904F5FA"/>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7">
    <w:nsid w:val="62F6553A"/>
    <w:multiLevelType w:val="hybridMultilevel"/>
    <w:tmpl w:val="EB98C926"/>
    <w:lvl w:ilvl="0" w:tplc="6E1A5290">
      <w:numFmt w:val="bullet"/>
      <w:lvlText w:val="-"/>
      <w:lvlJc w:val="left"/>
      <w:pPr>
        <w:ind w:hanging="360" w:left="720"/>
      </w:pPr>
      <w:rPr>
        <w:rFonts w:ascii="Arial Narrow" w:cstheme="minorBidi" w:eastAsiaTheme="minorHAnsi"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8">
    <w:nsid w:val="65332531"/>
    <w:multiLevelType w:val="hybridMultilevel"/>
    <w:tmpl w:val="0658C5C2"/>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39">
    <w:nsid w:val="6A4763E1"/>
    <w:multiLevelType w:val="hybridMultilevel"/>
    <w:tmpl w:val="DE88AEA2"/>
    <w:lvl w:ilvl="0" w:tplc="100C0003">
      <w:start w:val="1"/>
      <w:numFmt w:val="bullet"/>
      <w:lvlText w:val="o"/>
      <w:lvlJc w:val="left"/>
      <w:pPr>
        <w:ind w:hanging="360" w:left="720"/>
      </w:pPr>
      <w:rPr>
        <w:rFonts w:ascii="Courier New" w:cs="Courier New" w:hAnsi="Courier New"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0">
    <w:nsid w:val="6AF348D1"/>
    <w:multiLevelType w:val="hybridMultilevel"/>
    <w:tmpl w:val="A17A6D8A"/>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41">
    <w:nsid w:val="6CE31FD7"/>
    <w:multiLevelType w:val="hybridMultilevel"/>
    <w:tmpl w:val="A600B8EC"/>
    <w:lvl w:ilvl="0" w:tplc="B85AF90C">
      <w:start w:val="1"/>
      <w:numFmt w:val="bullet"/>
      <w:lvlText w:val=""/>
      <w:lvlJc w:val="left"/>
      <w:pPr>
        <w:ind w:hanging="360" w:left="720"/>
      </w:pPr>
      <w:rPr>
        <w:rFonts w:ascii="Symbol" w:hAnsi="Symbol" w:hint="default"/>
        <w:b/>
        <w:bCs/>
      </w:rPr>
    </w:lvl>
    <w:lvl w:ilvl="1" w:tplc="20000003">
      <w:start w:val="1"/>
      <w:numFmt w:val="bullet"/>
      <w:lvlText w:val="o"/>
      <w:lvlJc w:val="left"/>
      <w:pPr>
        <w:ind w:hanging="360" w:left="1440"/>
      </w:pPr>
      <w:rPr>
        <w:rFonts w:ascii="Courier New" w:cs="Courier New" w:hAnsi="Courier New" w:hint="default"/>
      </w:rPr>
    </w:lvl>
    <w:lvl w:ilvl="2"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42">
    <w:nsid w:val="6F7769B2"/>
    <w:multiLevelType w:val="hybridMultilevel"/>
    <w:tmpl w:val="C022633C"/>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3">
    <w:nsid w:val="70552C90"/>
    <w:multiLevelType w:val="hybridMultilevel"/>
    <w:tmpl w:val="8042CD6E"/>
    <w:lvl w:ilvl="0" w:tplc="EF08CABA">
      <w:start w:val="1"/>
      <w:numFmt w:val="bullet"/>
      <w:lvlText w:val=""/>
      <w:lvlJc w:val="left"/>
      <w:pPr>
        <w:ind w:hanging="360" w:left="720"/>
      </w:pPr>
      <w:rPr>
        <w:rFonts w:ascii="Symbol" w:hAnsi="Symbol" w:hint="default"/>
        <w:color w:val="E54143"/>
      </w:rPr>
    </w:lvl>
    <w:lvl w:ilvl="1" w:tplc="180A0003">
      <w:start w:val="1"/>
      <w:numFmt w:val="bullet"/>
      <w:lvlText w:val="o"/>
      <w:lvlJc w:val="left"/>
      <w:pPr>
        <w:ind w:hanging="360" w:left="1440"/>
      </w:pPr>
      <w:rPr>
        <w:rFonts w:ascii="Courier New" w:cs="Courier New" w:hAnsi="Courier New" w:hint="default"/>
      </w:rPr>
    </w:lvl>
    <w:lvl w:ilvl="2" w:tentative="1" w:tplc="180A0005">
      <w:start w:val="1"/>
      <w:numFmt w:val="bullet"/>
      <w:lvlText w:val=""/>
      <w:lvlJc w:val="left"/>
      <w:pPr>
        <w:ind w:hanging="360" w:left="2160"/>
      </w:pPr>
      <w:rPr>
        <w:rFonts w:ascii="Wingdings" w:hAnsi="Wingdings" w:hint="default"/>
      </w:rPr>
    </w:lvl>
    <w:lvl w:ilvl="3" w:tplc="180A0001">
      <w:start w:val="1"/>
      <w:numFmt w:val="bullet"/>
      <w:lvlText w:val=""/>
      <w:lvlJc w:val="left"/>
      <w:pPr>
        <w:ind w:hanging="360" w:left="2880"/>
      </w:pPr>
      <w:rPr>
        <w:rFonts w:ascii="Symbol" w:hAnsi="Symbol" w:hint="default"/>
      </w:rPr>
    </w:lvl>
    <w:lvl w:ilvl="4" w:tentative="1" w:tplc="180A0003">
      <w:start w:val="1"/>
      <w:numFmt w:val="bullet"/>
      <w:lvlText w:val="o"/>
      <w:lvlJc w:val="left"/>
      <w:pPr>
        <w:ind w:hanging="360" w:left="3600"/>
      </w:pPr>
      <w:rPr>
        <w:rFonts w:ascii="Courier New" w:cs="Courier New" w:hAnsi="Courier New" w:hint="default"/>
      </w:rPr>
    </w:lvl>
    <w:lvl w:ilvl="5" w:tentative="1" w:tplc="180A0005">
      <w:start w:val="1"/>
      <w:numFmt w:val="bullet"/>
      <w:lvlText w:val=""/>
      <w:lvlJc w:val="left"/>
      <w:pPr>
        <w:ind w:hanging="360" w:left="4320"/>
      </w:pPr>
      <w:rPr>
        <w:rFonts w:ascii="Wingdings" w:hAnsi="Wingdings" w:hint="default"/>
      </w:rPr>
    </w:lvl>
    <w:lvl w:ilvl="6" w:tentative="1" w:tplc="180A0001">
      <w:start w:val="1"/>
      <w:numFmt w:val="bullet"/>
      <w:lvlText w:val=""/>
      <w:lvlJc w:val="left"/>
      <w:pPr>
        <w:ind w:hanging="360" w:left="5040"/>
      </w:pPr>
      <w:rPr>
        <w:rFonts w:ascii="Symbol" w:hAnsi="Symbol" w:hint="default"/>
      </w:rPr>
    </w:lvl>
    <w:lvl w:ilvl="7" w:tentative="1" w:tplc="180A0003">
      <w:start w:val="1"/>
      <w:numFmt w:val="bullet"/>
      <w:lvlText w:val="o"/>
      <w:lvlJc w:val="left"/>
      <w:pPr>
        <w:ind w:hanging="360" w:left="5760"/>
      </w:pPr>
      <w:rPr>
        <w:rFonts w:ascii="Courier New" w:cs="Courier New" w:hAnsi="Courier New" w:hint="default"/>
      </w:rPr>
    </w:lvl>
    <w:lvl w:ilvl="8" w:tentative="1" w:tplc="180A0005">
      <w:start w:val="1"/>
      <w:numFmt w:val="bullet"/>
      <w:lvlText w:val=""/>
      <w:lvlJc w:val="left"/>
      <w:pPr>
        <w:ind w:hanging="360" w:left="6480"/>
      </w:pPr>
      <w:rPr>
        <w:rFonts w:ascii="Wingdings" w:hAnsi="Wingdings" w:hint="default"/>
      </w:rPr>
    </w:lvl>
  </w:abstractNum>
  <w:abstractNum w15:restartNumberingAfterBreak="0" w:abstractNumId="44">
    <w:nsid w:val="7267252A"/>
    <w:multiLevelType w:val="hybridMultilevel"/>
    <w:tmpl w:val="E5FA630E"/>
    <w:lvl w:ilvl="0" w:tplc="2000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7CED5726"/>
    <w:multiLevelType w:val="hybridMultilevel"/>
    <w:tmpl w:val="06D22A0A"/>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46">
    <w:nsid w:val="7D61398E"/>
    <w:multiLevelType w:val="hybridMultilevel"/>
    <w:tmpl w:val="1BE8FD52"/>
    <w:lvl w:ilvl="0" w:tplc="C9C0620E">
      <w:start w:val="1"/>
      <w:numFmt w:val="bullet"/>
      <w:lvlText w:val="o"/>
      <w:lvlJc w:val="left"/>
      <w:pPr>
        <w:ind w:hanging="360" w:left="720"/>
      </w:pPr>
      <w:rPr>
        <w:rFonts w:ascii="Courier New" w:cs="Courier New" w:hAnsi="Courier New" w:hint="default"/>
        <w:color w:themeColor="text1" w:val="000000"/>
      </w:rPr>
    </w:lvl>
    <w:lvl w:ilvl="1" w:tplc="040C0003">
      <w:start w:val="1"/>
      <w:numFmt w:val="bullet"/>
      <w:lvlText w:val="o"/>
      <w:lvlJc w:val="left"/>
      <w:pPr>
        <w:ind w:hanging="360" w:left="1440"/>
      </w:pPr>
      <w:rPr>
        <w:rFonts w:ascii="Courier New" w:cs="Courier New" w:hAnsi="Courier New" w:hint="default"/>
      </w:rPr>
    </w:lvl>
    <w:lvl w:ilvl="2"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7">
    <w:nsid w:val="7E3D2EC3"/>
    <w:multiLevelType w:val="hybridMultilevel"/>
    <w:tmpl w:val="765C277C"/>
    <w:lvl w:ilvl="0" w:tplc="7CE830A4">
      <w:start w:val="1"/>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01501535" w:numId="1">
    <w:abstractNumId w:val="43"/>
  </w:num>
  <w:num w16cid:durableId="1739476191" w:numId="2">
    <w:abstractNumId w:val="46"/>
  </w:num>
  <w:num w16cid:durableId="596670943" w:numId="3">
    <w:abstractNumId w:val="30"/>
  </w:num>
  <w:num w16cid:durableId="960113730" w:numId="4">
    <w:abstractNumId w:val="45"/>
  </w:num>
  <w:num w16cid:durableId="1223179917" w:numId="5">
    <w:abstractNumId w:val="28"/>
  </w:num>
  <w:num w16cid:durableId="2095936924" w:numId="6">
    <w:abstractNumId w:val="23"/>
  </w:num>
  <w:num w16cid:durableId="168104609" w:numId="7">
    <w:abstractNumId w:val="26"/>
  </w:num>
  <w:num w16cid:durableId="241721013" w:numId="8">
    <w:abstractNumId w:val="3"/>
  </w:num>
  <w:num w16cid:durableId="316039221" w:numId="9">
    <w:abstractNumId w:val="2"/>
  </w:num>
  <w:num w16cid:durableId="1321151716" w:numId="10">
    <w:abstractNumId w:val="39"/>
  </w:num>
  <w:num w16cid:durableId="1133330569" w:numId="11">
    <w:abstractNumId w:val="8"/>
  </w:num>
  <w:num w16cid:durableId="1898281747" w:numId="12">
    <w:abstractNumId w:val="11"/>
  </w:num>
  <w:num w16cid:durableId="838886467" w:numId="13">
    <w:abstractNumId w:val="16"/>
  </w:num>
  <w:num w16cid:durableId="2139029661" w:numId="14">
    <w:abstractNumId w:val="27"/>
  </w:num>
  <w:num w16cid:durableId="821964078" w:numId="15">
    <w:abstractNumId w:val="42"/>
  </w:num>
  <w:num w16cid:durableId="238174616" w:numId="16">
    <w:abstractNumId w:val="10"/>
  </w:num>
  <w:num w16cid:durableId="2125416300" w:numId="17">
    <w:abstractNumId w:val="9"/>
  </w:num>
  <w:num w16cid:durableId="563762647" w:numId="18">
    <w:abstractNumId w:val="25"/>
  </w:num>
  <w:num w16cid:durableId="1673871109" w:numId="19">
    <w:abstractNumId w:val="35"/>
  </w:num>
  <w:num w16cid:durableId="185798969" w:numId="20">
    <w:abstractNumId w:val="34"/>
  </w:num>
  <w:num w16cid:durableId="1690445934" w:numId="21">
    <w:abstractNumId w:val="33"/>
  </w:num>
  <w:num w16cid:durableId="1231697088" w:numId="22">
    <w:abstractNumId w:val="6"/>
  </w:num>
  <w:num w16cid:durableId="264121971" w:numId="23">
    <w:abstractNumId w:val="19"/>
  </w:num>
  <w:num w16cid:durableId="749087129" w:numId="24">
    <w:abstractNumId w:val="20"/>
  </w:num>
  <w:num w16cid:durableId="1518689442" w:numId="25">
    <w:abstractNumId w:val="44"/>
  </w:num>
  <w:num w16cid:durableId="485054717" w:numId="26">
    <w:abstractNumId w:val="7"/>
  </w:num>
  <w:num w16cid:durableId="6828864" w:numId="27">
    <w:abstractNumId w:val="38"/>
  </w:num>
  <w:num w16cid:durableId="1427919968" w:numId="28">
    <w:abstractNumId w:val="12"/>
  </w:num>
  <w:num w16cid:durableId="1988244589" w:numId="29">
    <w:abstractNumId w:val="21"/>
  </w:num>
  <w:num w16cid:durableId="2050647386" w:numId="30">
    <w:abstractNumId w:val="41"/>
  </w:num>
  <w:num w16cid:durableId="476532058" w:numId="31">
    <w:abstractNumId w:val="47"/>
  </w:num>
  <w:num w16cid:durableId="78334076" w:numId="32">
    <w:abstractNumId w:val="1"/>
  </w:num>
  <w:num w16cid:durableId="107244739" w:numId="33">
    <w:abstractNumId w:val="31"/>
  </w:num>
  <w:num w16cid:durableId="1558054906" w:numId="34">
    <w:abstractNumId w:val="24"/>
  </w:num>
  <w:num w16cid:durableId="1887837244" w:numId="35">
    <w:abstractNumId w:val="40"/>
  </w:num>
  <w:num w16cid:durableId="420490370" w:numId="36">
    <w:abstractNumId w:val="22"/>
  </w:num>
  <w:num w16cid:durableId="773087580" w:numId="37">
    <w:abstractNumId w:val="32"/>
  </w:num>
  <w:num w16cid:durableId="1056203373" w:numId="38">
    <w:abstractNumId w:val="37"/>
  </w:num>
  <w:num w16cid:durableId="869104721" w:numId="39">
    <w:abstractNumId w:val="0"/>
  </w:num>
  <w:num w16cid:durableId="608049387" w:numId="40">
    <w:abstractNumId w:val="13"/>
  </w:num>
  <w:num w16cid:durableId="35738322" w:numId="41">
    <w:abstractNumId w:val="29"/>
  </w:num>
  <w:num w16cid:durableId="1726106047" w:numId="42">
    <w:abstractNumId w:val="18"/>
  </w:num>
  <w:num w16cid:durableId="1428228560" w:numId="43">
    <w:abstractNumId w:val="15"/>
  </w:num>
  <w:num w16cid:durableId="1407650466" w:numId="44">
    <w:abstractNumId w:val="5"/>
  </w:num>
  <w:num w16cid:durableId="789975832" w:numId="45">
    <w:abstractNumId w:val="17"/>
  </w:num>
  <w:num w16cid:durableId="41101768" w:numId="46">
    <w:abstractNumId w:val="4"/>
  </w:num>
  <w:num w16cid:durableId="1685477892" w:numId="47">
    <w:abstractNumId w:val="14"/>
  </w:num>
  <w:num w16cid:durableId="1472167870" w:numId="48">
    <w:abstractNumId w:val="3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110"/>
  <w:drawingGridVerticalSpacing w:val="360"/>
  <w:displayHorizontalDrawingGridEvery w:val="2"/>
  <w:displayVerticalDrawingGridEvery w:val="0"/>
  <w:characterSpacingControl w:val="doNotCompress"/>
  <w:savePreviewPicture/>
  <w:hdrShapeDefaults>
    <o:shapedefaults spidmax="2050" v:ext="edit">
      <o:colormru colors="#58585a,#ee5859" v:ext="edit"/>
    </o:shapedefaults>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colormru colors="#58585a,#ee5859" v:ext="edi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mbria" w:hAnsi="Calibri"/>
        <w:lang w:bidi="ar-SA" w:eastAsia="en-US" w:val="en-US"/>
      </w:rPr>
    </w:rPrDefault>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Bpdy"/>
    <w:rsid w:val="00E340C7"/>
    <w:pPr>
      <w:spacing w:after="120" w:before="120" w:line="276" w:lineRule="auto"/>
      <w:jc w:val="both"/>
    </w:pPr>
    <w:rPr>
      <w:rFonts w:ascii="Arial Narrow" w:hAnsi="Arial Narrow"/>
      <w:sz w:val="22"/>
      <w:szCs w:val="22"/>
      <w:lang w:eastAsia="fr-FR" w:val="en-GB"/>
    </w:rPr>
  </w:style>
  <w:style w:styleId="Heading1" w:type="paragraph">
    <w:name w:val="heading 1"/>
    <w:basedOn w:val="Normal"/>
    <w:next w:val="Normal"/>
    <w:link w:val="Heading1Char"/>
    <w:uiPriority w:val="9"/>
    <w:qFormat/>
    <w:rsid w:val="006D5060"/>
    <w:pPr>
      <w:keepNext/>
      <w:spacing w:before="200" w:line="240" w:lineRule="auto"/>
      <w:outlineLvl w:val="0"/>
    </w:pPr>
    <w:rPr>
      <w:rFonts w:eastAsia="Times New Roman"/>
      <w:b/>
      <w:noProof/>
      <w:color w:themeColor="accent1" w:val="EE5859"/>
      <w:sz w:val="32"/>
      <w:szCs w:val="32"/>
      <w:lang w:val="fr-FR"/>
    </w:rPr>
  </w:style>
  <w:style w:styleId="Heading2" w:type="paragraph">
    <w:name w:val="heading 2"/>
    <w:basedOn w:val="Heading4"/>
    <w:next w:val="Normal"/>
    <w:link w:val="Heading2Char"/>
    <w:uiPriority w:val="9"/>
    <w:unhideWhenUsed/>
    <w:qFormat/>
    <w:rsid w:val="00931139"/>
    <w:pPr>
      <w:outlineLvl w:val="1"/>
    </w:pPr>
    <w:rPr>
      <w:color w:themeColor="accent1" w:val="EE5859"/>
      <w:sz w:val="28"/>
      <w:szCs w:val="32"/>
    </w:rPr>
  </w:style>
  <w:style w:styleId="Heading3" w:type="paragraph">
    <w:name w:val="heading 3"/>
    <w:basedOn w:val="Heading5"/>
    <w:next w:val="Normal"/>
    <w:link w:val="Heading3Char"/>
    <w:uiPriority w:val="9"/>
    <w:unhideWhenUsed/>
    <w:qFormat/>
    <w:rsid w:val="00931139"/>
    <w:pPr>
      <w:outlineLvl w:val="2"/>
    </w:pPr>
  </w:style>
  <w:style w:styleId="Heading4" w:type="paragraph">
    <w:name w:val="heading 4"/>
    <w:basedOn w:val="Heading1"/>
    <w:next w:val="Normal"/>
    <w:link w:val="Heading4Char"/>
    <w:uiPriority w:val="9"/>
    <w:unhideWhenUsed/>
    <w:qFormat/>
    <w:rsid w:val="00931139"/>
    <w:pPr>
      <w:keepLines/>
      <w:outlineLvl w:val="3"/>
    </w:pPr>
    <w:rPr>
      <w:rFonts w:asciiTheme="majorHAnsi" w:hAnsiTheme="majorHAnsi"/>
      <w:bCs/>
      <w:iCs/>
      <w:smallCaps/>
      <w:color w:themeColor="accent4" w:themeShade="80" w:val="A24709"/>
      <w:sz w:val="22"/>
      <w:szCs w:val="24"/>
    </w:rPr>
  </w:style>
  <w:style w:styleId="Heading5" w:type="paragraph">
    <w:name w:val="heading 5"/>
    <w:basedOn w:val="Normal"/>
    <w:next w:val="Normal"/>
    <w:link w:val="Heading5Char"/>
    <w:uiPriority w:val="9"/>
    <w:unhideWhenUsed/>
    <w:qFormat/>
    <w:rsid w:val="001E12B2"/>
    <w:pPr>
      <w:keepNext/>
      <w:keepLines/>
      <w:spacing w:after="0"/>
      <w:outlineLvl w:val="4"/>
    </w:pPr>
    <w:rPr>
      <w:rFonts w:cstheme="majorBidi" w:eastAsiaTheme="majorEastAsia"/>
      <w:b/>
      <w:color w:val="58585A"/>
      <w:sz w:val="24"/>
    </w:rPr>
  </w:style>
  <w:style w:styleId="Heading6" w:type="paragraph">
    <w:name w:val="heading 6"/>
    <w:basedOn w:val="Normal"/>
    <w:next w:val="Normal"/>
    <w:link w:val="Heading6Char"/>
    <w:uiPriority w:val="9"/>
    <w:unhideWhenUsed/>
    <w:qFormat/>
    <w:rsid w:val="00C71711"/>
    <w:pPr>
      <w:keepNext/>
      <w:keepLines/>
      <w:spacing w:after="0" w:before="40"/>
      <w:outlineLvl w:val="5"/>
    </w:pPr>
    <w:rPr>
      <w:rFonts w:asciiTheme="majorHAnsi" w:cstheme="majorBidi" w:eastAsiaTheme="majorEastAsia" w:hAnsiTheme="majorHAnsi"/>
      <w:color w:themeColor="accent1" w:themeShade="7F" w:val="930F0F"/>
    </w:rPr>
  </w:style>
  <w:style w:styleId="Heading7" w:type="paragraph">
    <w:name w:val="heading 7"/>
    <w:basedOn w:val="Normal"/>
    <w:next w:val="Normal"/>
    <w:link w:val="Heading7Char"/>
    <w:uiPriority w:val="9"/>
    <w:unhideWhenUsed/>
    <w:qFormat/>
    <w:rsid w:val="00907CFC"/>
    <w:pPr>
      <w:keepNext/>
      <w:keepLines/>
      <w:spacing w:after="0" w:before="40"/>
      <w:outlineLvl w:val="6"/>
    </w:pPr>
    <w:rPr>
      <w:rFonts w:asciiTheme="majorHAnsi" w:cstheme="majorBidi" w:eastAsiaTheme="majorEastAsia" w:hAnsiTheme="majorHAnsi"/>
      <w:i/>
      <w:iCs/>
      <w:color w:themeColor="accent1" w:themeShade="7F" w:val="930F0F"/>
    </w:rPr>
  </w:style>
  <w:style w:styleId="Heading8" w:type="paragraph">
    <w:name w:val="heading 8"/>
    <w:basedOn w:val="Normal"/>
    <w:next w:val="Normal"/>
    <w:link w:val="Heading8Char"/>
    <w:uiPriority w:val="9"/>
    <w:unhideWhenUsed/>
    <w:qFormat/>
    <w:rsid w:val="00931139"/>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link w:val="Heading1"/>
    <w:uiPriority w:val="9"/>
    <w:rsid w:val="006D5060"/>
    <w:rPr>
      <w:rFonts w:ascii="Arial Narrow" w:eastAsia="Times New Roman" w:hAnsi="Arial Narrow"/>
      <w:b/>
      <w:noProof/>
      <w:color w:themeColor="accent1" w:val="EE5859"/>
      <w:sz w:val="32"/>
      <w:szCs w:val="32"/>
      <w:lang w:eastAsia="fr-FR" w:val="fr-FR"/>
    </w:rPr>
  </w:style>
  <w:style w:customStyle="1" w:styleId="Heading2Char" w:type="character">
    <w:name w:val="Heading 2 Char"/>
    <w:link w:val="Heading2"/>
    <w:uiPriority w:val="9"/>
    <w:rsid w:val="00931139"/>
    <w:rPr>
      <w:rFonts w:asciiTheme="majorHAnsi" w:eastAsia="Times New Roman" w:hAnsiTheme="majorHAnsi"/>
      <w:b/>
      <w:bCs/>
      <w:iCs/>
      <w:smallCaps/>
      <w:noProof/>
      <w:color w:themeColor="accent1" w:val="EE5859"/>
      <w:sz w:val="28"/>
      <w:szCs w:val="32"/>
      <w:lang w:eastAsia="fr-FR" w:val="fr-FR"/>
    </w:rPr>
  </w:style>
  <w:style w:customStyle="1" w:styleId="Heading3Char" w:type="character">
    <w:name w:val="Heading 3 Char"/>
    <w:link w:val="Heading3"/>
    <w:uiPriority w:val="9"/>
    <w:rsid w:val="00931139"/>
    <w:rPr>
      <w:rFonts w:ascii="Arial Narrow" w:cstheme="majorBidi" w:eastAsiaTheme="majorEastAsia" w:hAnsi="Arial Narrow"/>
      <w:b/>
      <w:color w:val="58585A"/>
      <w:sz w:val="24"/>
      <w:szCs w:val="22"/>
      <w:lang w:eastAsia="fr-FR" w:val="en-GB"/>
    </w:rPr>
  </w:style>
  <w:style w:styleId="TOC1" w:type="paragraph">
    <w:name w:val="toc 1"/>
    <w:basedOn w:val="Normal"/>
    <w:next w:val="Normal"/>
    <w:autoRedefine/>
    <w:uiPriority w:val="39"/>
    <w:unhideWhenUsed/>
    <w:rsid w:val="00F26BB2"/>
    <w:pPr>
      <w:tabs>
        <w:tab w:leader="dot" w:pos="9737" w:val="right"/>
      </w:tabs>
      <w:spacing w:after="0" w:before="0"/>
    </w:pPr>
    <w:rPr>
      <w:rFonts w:cs="Arial" w:eastAsia="Times New Roman"/>
      <w:b/>
      <w:smallCaps/>
      <w:noProof/>
      <w:color w:val="EE5859"/>
      <w:kern w:val="28"/>
    </w:rPr>
  </w:style>
  <w:style w:styleId="TOC2" w:type="paragraph">
    <w:name w:val="toc 2"/>
    <w:basedOn w:val="Normal"/>
    <w:next w:val="Normal"/>
    <w:autoRedefine/>
    <w:uiPriority w:val="39"/>
    <w:unhideWhenUsed/>
    <w:rsid w:val="001556F3"/>
    <w:pPr>
      <w:tabs>
        <w:tab w:pos="660" w:val="left"/>
        <w:tab w:pos="1418" w:val="right"/>
        <w:tab w:leader="dot" w:pos="9737" w:val="right"/>
      </w:tabs>
      <w:spacing w:after="0" w:before="0" w:line="240" w:lineRule="auto"/>
      <w:ind w:left="660"/>
      <w:jc w:val="left"/>
    </w:pPr>
    <w:rPr>
      <w:rFonts w:cs="Arial"/>
      <w:noProof/>
    </w:rPr>
  </w:style>
  <w:style w:styleId="TOC3" w:type="paragraph">
    <w:name w:val="toc 3"/>
    <w:basedOn w:val="Normal"/>
    <w:next w:val="Normal"/>
    <w:autoRedefine/>
    <w:uiPriority w:val="39"/>
    <w:unhideWhenUsed/>
    <w:rsid w:val="00F26BB2"/>
    <w:pPr>
      <w:tabs>
        <w:tab w:leader="dot" w:pos="9734" w:val="right"/>
      </w:tabs>
      <w:spacing w:after="0" w:before="0" w:line="240" w:lineRule="auto"/>
      <w:ind w:left="864"/>
      <w:jc w:val="left"/>
    </w:pPr>
    <w:rPr>
      <w:color w:val="EE5859"/>
      <w:lang w:eastAsia="ja-JP"/>
    </w:rPr>
  </w:style>
  <w:style w:styleId="Caption" w:type="paragraph">
    <w:name w:val="caption"/>
    <w:basedOn w:val="Normal"/>
    <w:next w:val="Normal"/>
    <w:unhideWhenUsed/>
    <w:qFormat/>
    <w:rsid w:val="0033374A"/>
    <w:rPr>
      <w:b/>
      <w:color w:val="58585A"/>
      <w:sz w:val="20"/>
      <w:szCs w:val="20"/>
    </w:rPr>
  </w:style>
  <w:style w:styleId="Title" w:type="paragraph">
    <w:name w:val="Title"/>
    <w:basedOn w:val="Normal"/>
    <w:next w:val="Normal"/>
    <w:link w:val="TitleChar"/>
    <w:uiPriority w:val="10"/>
    <w:qFormat/>
    <w:rsid w:val="00496650"/>
    <w:pPr>
      <w:pBdr>
        <w:bottom w:color="4F81BD" w:space="4" w:sz="8" w:val="single"/>
      </w:pBdr>
      <w:spacing w:after="300" w:line="240" w:lineRule="auto"/>
      <w:contextualSpacing/>
    </w:pPr>
    <w:rPr>
      <w:rFonts w:eastAsia="MS Gothic"/>
      <w:b/>
      <w:color w:val="244061"/>
      <w:spacing w:val="5"/>
      <w:kern w:val="28"/>
      <w:sz w:val="44"/>
      <w:szCs w:val="52"/>
    </w:rPr>
  </w:style>
  <w:style w:customStyle="1" w:styleId="TitleChar" w:type="character">
    <w:name w:val="Title Char"/>
    <w:link w:val="Title"/>
    <w:uiPriority w:val="10"/>
    <w:rsid w:val="00496650"/>
    <w:rPr>
      <w:rFonts w:ascii="Arial Narrow" w:cs="Times New Roman" w:eastAsia="MS Gothic" w:hAnsi="Arial Narrow"/>
      <w:b/>
      <w:color w:val="244061"/>
      <w:spacing w:val="5"/>
      <w:kern w:val="28"/>
      <w:sz w:val="44"/>
      <w:szCs w:val="52"/>
    </w:rPr>
  </w:style>
  <w:style w:styleId="Subtitle" w:type="paragraph">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customStyle="1" w:styleId="SubtitleChar" w:type="character">
    <w:name w:val="Subtitle Char"/>
    <w:link w:val="Subtitle"/>
    <w:uiPriority w:val="11"/>
    <w:rsid w:val="00496650"/>
    <w:rPr>
      <w:rFonts w:ascii="Calibri" w:cs="Times New Roman" w:eastAsia="Times New Roman" w:hAnsi="Calibri"/>
      <w:i/>
      <w:iCs/>
      <w:color w:val="4F81BD"/>
      <w:spacing w:val="15"/>
      <w:sz w:val="24"/>
      <w:szCs w:val="24"/>
    </w:rPr>
  </w:style>
  <w:style w:styleId="NoSpacing" w:type="paragraph">
    <w:name w:val="No Spacing"/>
    <w:link w:val="NoSpacingChar"/>
    <w:qFormat/>
    <w:rsid w:val="00496650"/>
    <w:rPr>
      <w:sz w:val="22"/>
      <w:szCs w:val="22"/>
      <w:lang w:val="fr-FR"/>
    </w:rPr>
  </w:style>
  <w:style w:customStyle="1" w:styleId="NoSpacingChar" w:type="character">
    <w:name w:val="No Spacing Char"/>
    <w:link w:val="NoSpacing"/>
    <w:uiPriority w:val="1"/>
    <w:rsid w:val="00496650"/>
    <w:rPr>
      <w:sz w:val="22"/>
      <w:szCs w:val="22"/>
      <w:lang w:val="fr-FR"/>
    </w:rPr>
  </w:style>
  <w:style w:styleId="ListParagraph" w:type="paragraph">
    <w:name w:val="List Paragraph"/>
    <w:basedOn w:val="Normal"/>
    <w:uiPriority w:val="34"/>
    <w:qFormat/>
    <w:rsid w:val="003B1927"/>
    <w:pPr>
      <w:spacing w:line="240" w:lineRule="auto"/>
      <w:ind w:left="720"/>
      <w:contextualSpacing/>
      <w:jc w:val="left"/>
    </w:pPr>
  </w:style>
  <w:style w:styleId="TOCHeading" w:type="paragraph">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eastAsia="ja-JP" w:val="en-US"/>
    </w:rPr>
  </w:style>
  <w:style w:customStyle="1" w:styleId="HeadingACTEDReport" w:type="paragraph">
    <w:name w:val="Heading ACTED Report"/>
    <w:basedOn w:val="Heading2"/>
    <w:qFormat/>
    <w:rsid w:val="00496650"/>
    <w:rPr>
      <w:smallCaps w:val="0"/>
      <w:color w:val="595959"/>
      <w:sz w:val="32"/>
      <w:szCs w:val="28"/>
    </w:rPr>
  </w:style>
  <w:style w:customStyle="1" w:styleId="Sub-HeadingACTEDReport" w:type="paragraph">
    <w:name w:val="Sub-Heading ACTED Report"/>
    <w:basedOn w:val="HeadingACTEDReport"/>
    <w:next w:val="Normal"/>
    <w:qFormat/>
    <w:rsid w:val="00496650"/>
    <w:pPr>
      <w:spacing w:before="120"/>
      <w:ind w:left="360"/>
    </w:pPr>
    <w:rPr>
      <w:color w:val="244061"/>
      <w:sz w:val="24"/>
      <w:szCs w:val="24"/>
    </w:rPr>
  </w:style>
  <w:style w:customStyle="1" w:styleId="Default" w:type="paragraph">
    <w:name w:val="Default"/>
    <w:rsid w:val="000D35ED"/>
    <w:pPr>
      <w:autoSpaceDE w:val="0"/>
      <w:autoSpaceDN w:val="0"/>
      <w:adjustRightInd w:val="0"/>
    </w:pPr>
    <w:rPr>
      <w:rFonts w:ascii="Arial" w:cs="Arial" w:eastAsia="Times New Roman" w:hAnsi="Arial"/>
      <w:color w:val="000000"/>
      <w:sz w:val="24"/>
      <w:szCs w:val="24"/>
    </w:rPr>
  </w:style>
  <w:style w:styleId="Header" w:type="paragraph">
    <w:name w:val="header"/>
    <w:basedOn w:val="Normal"/>
    <w:link w:val="HeaderChar"/>
    <w:uiPriority w:val="99"/>
    <w:unhideWhenUsed/>
    <w:rsid w:val="00880C87"/>
    <w:pPr>
      <w:tabs>
        <w:tab w:pos="4513" w:val="center"/>
        <w:tab w:pos="9026" w:val="right"/>
      </w:tabs>
      <w:spacing w:after="0" w:line="240" w:lineRule="auto"/>
    </w:pPr>
  </w:style>
  <w:style w:customStyle="1" w:styleId="HeaderChar" w:type="character">
    <w:name w:val="Header Char"/>
    <w:link w:val="Header"/>
    <w:uiPriority w:val="99"/>
    <w:rsid w:val="00880C87"/>
    <w:rPr>
      <w:sz w:val="22"/>
      <w:szCs w:val="22"/>
    </w:rPr>
  </w:style>
  <w:style w:styleId="Footer" w:type="paragraph">
    <w:name w:val="footer"/>
    <w:basedOn w:val="Normal"/>
    <w:link w:val="FooterChar"/>
    <w:uiPriority w:val="99"/>
    <w:unhideWhenUsed/>
    <w:rsid w:val="00880C87"/>
    <w:pPr>
      <w:tabs>
        <w:tab w:pos="4513" w:val="center"/>
        <w:tab w:pos="9026" w:val="right"/>
      </w:tabs>
      <w:spacing w:after="0" w:line="240" w:lineRule="auto"/>
    </w:pPr>
  </w:style>
  <w:style w:customStyle="1" w:styleId="FooterChar" w:type="character">
    <w:name w:val="Footer Char"/>
    <w:link w:val="Footer"/>
    <w:uiPriority w:val="99"/>
    <w:rsid w:val="00880C87"/>
    <w:rPr>
      <w:sz w:val="22"/>
      <w:szCs w:val="22"/>
    </w:rPr>
  </w:style>
  <w:style w:styleId="BalloonText" w:type="paragraph">
    <w:name w:val="Balloon Text"/>
    <w:basedOn w:val="Normal"/>
    <w:link w:val="BalloonTextChar"/>
    <w:uiPriority w:val="99"/>
    <w:semiHidden/>
    <w:unhideWhenUsed/>
    <w:rsid w:val="00880C87"/>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880C87"/>
    <w:rPr>
      <w:rFonts w:ascii="Tahoma" w:cs="Tahoma" w:hAnsi="Tahoma"/>
      <w:sz w:val="16"/>
      <w:szCs w:val="16"/>
    </w:rPr>
  </w:style>
  <w:style w:customStyle="1" w:styleId="A4" w:type="character">
    <w:name w:val="A4"/>
    <w:uiPriority w:val="99"/>
    <w:rsid w:val="00DF0413"/>
    <w:rPr>
      <w:rFonts w:cs="Trade Gothic LT Std Bold"/>
      <w:b/>
      <w:bCs/>
      <w:color w:val="000000"/>
      <w:sz w:val="26"/>
      <w:szCs w:val="26"/>
    </w:rPr>
  </w:style>
  <w:style w:customStyle="1" w:styleId="A3" w:type="character">
    <w:name w:val="A3"/>
    <w:uiPriority w:val="99"/>
    <w:rsid w:val="00DF0413"/>
    <w:rPr>
      <w:rFonts w:cs="Trade Gothic LT Std Bold"/>
      <w:b/>
      <w:bCs/>
      <w:color w:val="000000"/>
      <w:sz w:val="38"/>
      <w:szCs w:val="38"/>
    </w:rPr>
  </w:style>
  <w:style w:customStyle="1" w:styleId="BasicParagraph" w:type="paragraph">
    <w:name w:val="[Basic Paragraph]"/>
    <w:basedOn w:val="Normal"/>
    <w:uiPriority w:val="99"/>
    <w:rsid w:val="00AF2B99"/>
    <w:pPr>
      <w:autoSpaceDE w:val="0"/>
      <w:autoSpaceDN w:val="0"/>
      <w:adjustRightInd w:val="0"/>
      <w:spacing w:after="0" w:line="288" w:lineRule="auto"/>
      <w:jc w:val="left"/>
      <w:textAlignment w:val="center"/>
    </w:pPr>
    <w:rPr>
      <w:rFonts w:ascii="Minion Pro" w:cs="Minion Pro" w:hAnsi="Minion Pro"/>
      <w:color w:val="000000"/>
      <w:sz w:val="24"/>
      <w:szCs w:val="24"/>
    </w:rPr>
  </w:style>
  <w:style w:styleId="CommentReference" w:type="character">
    <w:name w:val="annotation reference"/>
    <w:uiPriority w:val="99"/>
    <w:semiHidden/>
    <w:unhideWhenUsed/>
    <w:rsid w:val="00AF2B99"/>
    <w:rPr>
      <w:sz w:val="16"/>
      <w:szCs w:val="16"/>
    </w:rPr>
  </w:style>
  <w:style w:styleId="CommentText" w:type="paragraph">
    <w:name w:val="annotation text"/>
    <w:basedOn w:val="Normal"/>
    <w:link w:val="CommentTextChar"/>
    <w:uiPriority w:val="99"/>
    <w:unhideWhenUsed/>
    <w:rsid w:val="00AF2B99"/>
    <w:pPr>
      <w:spacing w:line="240" w:lineRule="auto"/>
      <w:jc w:val="left"/>
    </w:pPr>
    <w:rPr>
      <w:rFonts w:ascii="Cambria" w:cs="Arial" w:hAnsi="Cambria"/>
      <w:sz w:val="20"/>
      <w:szCs w:val="20"/>
    </w:rPr>
  </w:style>
  <w:style w:customStyle="1" w:styleId="CommentTextChar" w:type="character">
    <w:name w:val="Comment Text Char"/>
    <w:link w:val="CommentText"/>
    <w:uiPriority w:val="99"/>
    <w:rsid w:val="00AF2B99"/>
    <w:rPr>
      <w:rFonts w:ascii="Cambria" w:cs="Arial" w:hAnsi="Cambria"/>
    </w:rPr>
  </w:style>
  <w:style w:styleId="Hyperlink" w:type="character">
    <w:name w:val="Hyperlink"/>
    <w:uiPriority w:val="99"/>
    <w:unhideWhenUsed/>
    <w:rsid w:val="00AF2B99"/>
    <w:rPr>
      <w:color w:val="0000FF"/>
      <w:u w:val="single"/>
    </w:rPr>
  </w:style>
  <w:style w:customStyle="1" w:styleId="Pa1" w:type="paragraph">
    <w:name w:val="Pa1"/>
    <w:basedOn w:val="Default"/>
    <w:next w:val="Default"/>
    <w:uiPriority w:val="99"/>
    <w:rsid w:val="00AF2B99"/>
    <w:pPr>
      <w:spacing w:line="241" w:lineRule="atLeast"/>
    </w:pPr>
    <w:rPr>
      <w:rFonts w:ascii="Trade Gothic LT Std" w:eastAsia="Cambria" w:hAnsi="Trade Gothic LT Std"/>
      <w:color w:val="auto"/>
    </w:rPr>
  </w:style>
  <w:style w:styleId="FootnoteText" w:type="paragraph">
    <w:name w:val="footnote text"/>
    <w:basedOn w:val="Normal"/>
    <w:link w:val="FootnoteTextChar"/>
    <w:uiPriority w:val="99"/>
    <w:semiHidden/>
    <w:unhideWhenUsed/>
    <w:rsid w:val="00AF2B99"/>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AF2B99"/>
  </w:style>
  <w:style w:styleId="FootnoteReference" w:type="character">
    <w:name w:val="footnote reference"/>
    <w:uiPriority w:val="99"/>
    <w:semiHidden/>
    <w:unhideWhenUsed/>
    <w:rsid w:val="00AF2B99"/>
    <w:rPr>
      <w:vertAlign w:val="superscript"/>
    </w:rPr>
  </w:style>
  <w:style w:customStyle="1" w:styleId="A10" w:type="character">
    <w:name w:val="A10"/>
    <w:uiPriority w:val="99"/>
    <w:rsid w:val="00AB47C7"/>
    <w:rPr>
      <w:rFonts w:cs="Akzidenz Grotesk BE"/>
      <w:color w:val="000000"/>
      <w:sz w:val="12"/>
      <w:szCs w:val="12"/>
    </w:rPr>
  </w:style>
  <w:style w:styleId="CommentSubject" w:type="paragraph">
    <w:name w:val="annotation subject"/>
    <w:basedOn w:val="CommentText"/>
    <w:next w:val="CommentText"/>
    <w:link w:val="CommentSubjectChar"/>
    <w:uiPriority w:val="99"/>
    <w:semiHidden/>
    <w:unhideWhenUsed/>
    <w:rsid w:val="003C2ADA"/>
    <w:pPr>
      <w:jc w:val="both"/>
    </w:pPr>
    <w:rPr>
      <w:rFonts w:ascii="Calibri" w:cs="Times New Roman" w:hAnsi="Calibri"/>
      <w:b/>
      <w:bCs/>
    </w:rPr>
  </w:style>
  <w:style w:customStyle="1" w:styleId="CommentSubjectChar" w:type="character">
    <w:name w:val="Comment Subject Char"/>
    <w:link w:val="CommentSubject"/>
    <w:uiPriority w:val="99"/>
    <w:semiHidden/>
    <w:rsid w:val="003C2ADA"/>
    <w:rPr>
      <w:rFonts w:ascii="Cambria" w:cs="Arial" w:hAnsi="Cambria"/>
      <w:b/>
      <w:bCs/>
    </w:rPr>
  </w:style>
  <w:style w:customStyle="1" w:styleId="Pa0" w:type="paragraph">
    <w:name w:val="Pa0"/>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7" w:type="character">
    <w:name w:val="A7"/>
    <w:uiPriority w:val="99"/>
    <w:rsid w:val="00A66EA6"/>
    <w:rPr>
      <w:rFonts w:cs="Trade Gothic LT Std Bold"/>
      <w:color w:val="000000"/>
      <w:sz w:val="20"/>
      <w:szCs w:val="20"/>
    </w:rPr>
  </w:style>
  <w:style w:customStyle="1" w:styleId="Pa4" w:type="paragraph">
    <w:name w:val="Pa4"/>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0" w:type="character">
    <w:name w:val="A0"/>
    <w:uiPriority w:val="99"/>
    <w:rsid w:val="00485E55"/>
    <w:rPr>
      <w:rFonts w:cs="Trade Gothic LT Std Bold"/>
      <w:b/>
      <w:bCs/>
      <w:color w:val="000000"/>
      <w:sz w:val="32"/>
      <w:szCs w:val="32"/>
    </w:rPr>
  </w:style>
  <w:style w:styleId="Revision" w:type="paragraph">
    <w:name w:val="Revision"/>
    <w:hidden/>
    <w:uiPriority w:val="71"/>
    <w:rsid w:val="00E54D20"/>
    <w:rPr>
      <w:sz w:val="22"/>
      <w:szCs w:val="22"/>
    </w:rPr>
  </w:style>
  <w:style w:styleId="IntenseEmphasis" w:type="character">
    <w:name w:val="Intense Emphasis"/>
    <w:uiPriority w:val="21"/>
    <w:rsid w:val="00066E8A"/>
    <w:rPr>
      <w:b/>
      <w:bCs/>
      <w:i/>
      <w:iCs/>
      <w:color w:val="4F81BD"/>
    </w:rPr>
  </w:style>
  <w:style w:customStyle="1" w:styleId="Heading4Char" w:type="character">
    <w:name w:val="Heading 4 Char"/>
    <w:link w:val="Heading4"/>
    <w:uiPriority w:val="9"/>
    <w:rsid w:val="00931139"/>
    <w:rPr>
      <w:rFonts w:asciiTheme="majorHAnsi" w:eastAsia="Times New Roman" w:hAnsiTheme="majorHAnsi"/>
      <w:b/>
      <w:bCs/>
      <w:iCs/>
      <w:smallCaps/>
      <w:noProof/>
      <w:color w:themeColor="accent4" w:themeShade="80" w:val="A24709"/>
      <w:sz w:val="22"/>
      <w:szCs w:val="24"/>
      <w:lang w:eastAsia="fr-FR" w:val="fr-FR"/>
    </w:rPr>
  </w:style>
  <w:style w:styleId="TOC4" w:type="paragraph">
    <w:name w:val="toc 4"/>
    <w:basedOn w:val="Normal"/>
    <w:next w:val="Normal"/>
    <w:autoRedefine/>
    <w:uiPriority w:val="39"/>
    <w:unhideWhenUsed/>
    <w:rsid w:val="008269B6"/>
    <w:pPr>
      <w:tabs>
        <w:tab w:leader="dot" w:pos="9720" w:val="right"/>
      </w:tabs>
      <w:spacing w:after="0"/>
    </w:pPr>
    <w:rPr>
      <w:rFonts w:cs="Arial" w:eastAsia="Times New Roman"/>
      <w:b/>
      <w:bCs/>
      <w:smallCaps/>
      <w:color w:val="FF0000"/>
      <w:kern w:val="28"/>
      <w:sz w:val="32"/>
      <w:szCs w:val="28"/>
    </w:rPr>
  </w:style>
  <w:style w:customStyle="1" w:styleId="Heading5Char" w:type="character">
    <w:name w:val="Heading 5 Char"/>
    <w:basedOn w:val="DefaultParagraphFont"/>
    <w:link w:val="Heading5"/>
    <w:uiPriority w:val="9"/>
    <w:rsid w:val="001E12B2"/>
    <w:rPr>
      <w:rFonts w:ascii="Arial Narrow" w:cstheme="majorBidi" w:eastAsiaTheme="majorEastAsia" w:hAnsi="Arial Narrow"/>
      <w:b/>
      <w:color w:val="58585A"/>
      <w:sz w:val="24"/>
      <w:szCs w:val="22"/>
    </w:rPr>
  </w:style>
  <w:style w:styleId="TableGrid" w:type="table">
    <w:name w:val="Table Grid"/>
    <w:basedOn w:val="TableNormal"/>
    <w:uiPriority w:val="39"/>
    <w:rsid w:val="0005308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24" w:type="character">
    <w:name w:val="A24"/>
    <w:uiPriority w:val="99"/>
    <w:rsid w:val="003E68DF"/>
    <w:rPr>
      <w:rFonts w:cs="Trade Gothic LT Std Light"/>
      <w:color w:val="000000"/>
      <w:sz w:val="23"/>
      <w:szCs w:val="23"/>
    </w:rPr>
  </w:style>
  <w:style w:styleId="TableofFigures" w:type="paragraph">
    <w:name w:val="table of figures"/>
    <w:basedOn w:val="Normal"/>
    <w:next w:val="Normal"/>
    <w:uiPriority w:val="99"/>
    <w:unhideWhenUsed/>
    <w:rsid w:val="00CF7544"/>
    <w:pPr>
      <w:spacing w:after="0"/>
    </w:pPr>
  </w:style>
  <w:style w:styleId="TOC5" w:type="paragraph">
    <w:name w:val="toc 5"/>
    <w:basedOn w:val="Normal"/>
    <w:next w:val="Normal"/>
    <w:autoRedefine/>
    <w:uiPriority w:val="39"/>
    <w:unhideWhenUsed/>
    <w:rsid w:val="00EC27EF"/>
    <w:pPr>
      <w:spacing w:after="100"/>
      <w:ind w:left="880"/>
    </w:pPr>
  </w:style>
  <w:style w:customStyle="1" w:styleId="apple-converted-space" w:type="character">
    <w:name w:val="apple-converted-space"/>
    <w:basedOn w:val="DefaultParagraphFont"/>
    <w:rsid w:val="000B3CF5"/>
  </w:style>
  <w:style w:customStyle="1" w:styleId="Body" w:type="paragraph">
    <w:name w:val="Body"/>
    <w:basedOn w:val="Default"/>
    <w:link w:val="BodyCar"/>
    <w:rsid w:val="00BB077B"/>
    <w:rPr>
      <w:rFonts w:ascii="Arial Narrow" w:hAnsi="Arial Narrow"/>
      <w:smallCaps/>
      <w:noProof/>
      <w:color w:themeColor="text1" w:val="000000"/>
      <w:sz w:val="22"/>
      <w:szCs w:val="32"/>
      <w:lang w:eastAsia="fr-FR" w:val="fr-FR"/>
    </w:rPr>
  </w:style>
  <w:style w:customStyle="1" w:styleId="Paragraphe" w:type="paragraph">
    <w:name w:val="Paragraphe"/>
    <w:basedOn w:val="Normal"/>
    <w:link w:val="ParagrapheCar"/>
    <w:qFormat/>
    <w:rsid w:val="00EC0B70"/>
    <w:pPr>
      <w:spacing w:after="0"/>
      <w:jc w:val="left"/>
    </w:pPr>
    <w:rPr>
      <w:noProof/>
      <w:color w:themeColor="text1" w:val="000000"/>
      <w:shd w:color="auto" w:fill="FFFFFF" w:val="clear"/>
    </w:rPr>
  </w:style>
  <w:style w:customStyle="1" w:styleId="BodyCar" w:type="character">
    <w:name w:val="Body Car"/>
    <w:basedOn w:val="DefaultParagraphFont"/>
    <w:link w:val="Body"/>
    <w:rsid w:val="00BB077B"/>
    <w:rPr>
      <w:rFonts w:ascii="Arial Narrow" w:cs="Arial" w:eastAsia="Times New Roman" w:hAnsi="Arial Narrow"/>
      <w:smallCaps/>
      <w:noProof/>
      <w:color w:themeColor="text1" w:val="000000"/>
      <w:sz w:val="22"/>
      <w:szCs w:val="32"/>
      <w:lang w:eastAsia="fr-FR" w:val="fr-FR"/>
    </w:rPr>
  </w:style>
  <w:style w:customStyle="1" w:styleId="ParagrapheCar" w:type="character">
    <w:name w:val="Paragraphe Car"/>
    <w:basedOn w:val="DefaultParagraphFont"/>
    <w:link w:val="Paragraphe"/>
    <w:rsid w:val="00EC0B70"/>
    <w:rPr>
      <w:rFonts w:ascii="Arial Narrow" w:hAnsi="Arial Narrow"/>
      <w:noProof/>
      <w:color w:themeColor="text1" w:val="000000"/>
      <w:sz w:val="22"/>
      <w:szCs w:val="22"/>
    </w:rPr>
  </w:style>
  <w:style w:customStyle="1" w:styleId="Study2" w:type="paragraph">
    <w:name w:val="Study 2"/>
    <w:basedOn w:val="Normal"/>
    <w:rsid w:val="002F2654"/>
    <w:pPr>
      <w:spacing w:after="240" w:line="260" w:lineRule="atLeast"/>
    </w:pPr>
    <w:rPr>
      <w:rFonts w:ascii="Arial" w:cs="Arial" w:eastAsia="Times New Roman" w:hAnsi="Arial"/>
      <w:bCs/>
      <w:sz w:val="18"/>
      <w:szCs w:val="20"/>
    </w:rPr>
  </w:style>
  <w:style w:customStyle="1" w:styleId="Noraml" w:type="paragraph">
    <w:name w:val="Noraml"/>
    <w:basedOn w:val="Normal"/>
    <w:rsid w:val="002F2654"/>
    <w:pPr>
      <w:spacing w:after="240" w:line="260" w:lineRule="atLeast"/>
    </w:pPr>
    <w:rPr>
      <w:rFonts w:ascii="Arial" w:eastAsia="Times New Roman" w:hAnsi="Arial"/>
      <w:sz w:val="18"/>
      <w:szCs w:val="18"/>
    </w:rPr>
  </w:style>
  <w:style w:styleId="GridTable1Light" w:type="table">
    <w:name w:val="Grid Table 1 Light"/>
    <w:basedOn w:val="TableNormal"/>
    <w:uiPriority w:val="46"/>
    <w:rsid w:val="00FC4F4B"/>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Table3-Accent2" w:type="table">
    <w:name w:val="List Table 3 Accent 2"/>
    <w:basedOn w:val="TableNormal"/>
    <w:uiPriority w:val="48"/>
    <w:rsid w:val="00CE37B7"/>
    <w:tblPr>
      <w:tblStyleRowBandSize w:val="1"/>
      <w:tblStyleColBandSize w:val="1"/>
      <w:tblBorders>
        <w:top w:color="58585A" w:space="0" w:sz="4" w:themeColor="accent2" w:val="single"/>
        <w:left w:color="58585A" w:space="0" w:sz="4" w:themeColor="accent2" w:val="single"/>
        <w:bottom w:color="58585A" w:space="0" w:sz="4" w:themeColor="accent2" w:val="single"/>
        <w:right w:color="58585A" w:space="0" w:sz="4" w:themeColor="accent2" w:val="single"/>
      </w:tblBorders>
    </w:tblPr>
    <w:tblStylePr w:type="firstRow">
      <w:rPr>
        <w:b/>
        <w:bCs/>
        <w:color w:themeColor="background1" w:val="FFFFFF"/>
      </w:rPr>
      <w:tblPr/>
      <w:tcPr>
        <w:shd w:color="auto" w:fill="58585A" w:themeFill="accent2" w:val="clear"/>
      </w:tcPr>
    </w:tblStylePr>
    <w:tblStylePr w:type="lastRow">
      <w:rPr>
        <w:b/>
        <w:bCs/>
      </w:rPr>
      <w:tblPr/>
      <w:tcPr>
        <w:tcBorders>
          <w:top w:color="58585A"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8585A" w:space="0" w:sz="4" w:themeColor="accent2" w:val="single"/>
          <w:right w:color="58585A" w:space="0" w:sz="4" w:themeColor="accent2" w:val="single"/>
        </w:tcBorders>
      </w:tcPr>
    </w:tblStylePr>
    <w:tblStylePr w:type="band1Horz">
      <w:tblPr/>
      <w:tcPr>
        <w:tcBorders>
          <w:top w:color="58585A" w:space="0" w:sz="4" w:themeColor="accent2" w:val="single"/>
          <w:bottom w:color="58585A"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8585A" w:space="0" w:sz="4" w:themeColor="accent2" w:val="double"/>
          <w:left w:val="nil"/>
        </w:tcBorders>
      </w:tcPr>
    </w:tblStylePr>
    <w:tblStylePr w:type="swCell">
      <w:tblPr/>
      <w:tcPr>
        <w:tcBorders>
          <w:top w:color="58585A" w:space="0" w:sz="4" w:themeColor="accent2" w:val="double"/>
          <w:right w:val="nil"/>
        </w:tcBorders>
      </w:tcPr>
    </w:tblStylePr>
  </w:style>
  <w:style w:styleId="ListTable7Colorful-Accent1" w:type="table">
    <w:name w:val="List Table 7 Colorful Accent 1"/>
    <w:basedOn w:val="TableNormal"/>
    <w:uiPriority w:val="52"/>
    <w:rsid w:val="007D4BAC"/>
    <w:rPr>
      <w:color w:themeColor="accent1" w:themeShade="BF" w:val="DD1617"/>
    </w:rPr>
    <w:tblPr>
      <w:tblStyleRowBandSize w:val="1"/>
      <w:tblStyleColBandSize w:val="1"/>
    </w:tblPr>
    <w:tblStylePr w:type="firstRow">
      <w:rPr>
        <w:rFonts w:asciiTheme="majorHAnsi" w:cstheme="majorBidi" w:eastAsiaTheme="majorEastAsia" w:hAnsiTheme="majorHAnsi"/>
        <w:i/>
        <w:iCs/>
        <w:sz w:val="26"/>
      </w:rPr>
      <w:tblPr/>
      <w:tcPr>
        <w:tcBorders>
          <w:bottom w:color="EE5859"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E5859"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E5859"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E5859" w:space="0" w:sz="4" w:themeColor="accent1" w:val="single"/>
        </w:tcBorders>
        <w:shd w:color="auto" w:fill="FFFFFF" w:themeFill="background1" w:val="clear"/>
      </w:tcPr>
    </w:tblStylePr>
    <w:tblStylePr w:type="band1Vert">
      <w:tblPr/>
      <w:tcPr>
        <w:shd w:color="auto" w:fill="FBDDDD" w:themeFill="accent1" w:themeFillTint="33" w:val="clear"/>
      </w:tcPr>
    </w:tblStylePr>
    <w:tblStylePr w:type="band1Horz">
      <w:tblPr/>
      <w:tcPr>
        <w:shd w:color="auto" w:fill="FBDDDD"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NormalWeb" w:type="paragraph">
    <w:name w:val="Normal (Web)"/>
    <w:basedOn w:val="Normal"/>
    <w:uiPriority w:val="99"/>
    <w:unhideWhenUsed/>
    <w:rsid w:val="0032208C"/>
    <w:pPr>
      <w:spacing w:after="100" w:afterAutospacing="1" w:before="100" w:beforeAutospacing="1" w:line="240" w:lineRule="auto"/>
      <w:jc w:val="left"/>
    </w:pPr>
    <w:rPr>
      <w:rFonts w:ascii="Times New Roman" w:eastAsia="Times New Roman" w:hAnsi="Times New Roman"/>
      <w:sz w:val="24"/>
      <w:szCs w:val="24"/>
      <w:lang w:val="fr-FR"/>
    </w:rPr>
  </w:style>
  <w:style w:customStyle="1" w:styleId="ColorfulShading-Accent11" w:type="paragraph">
    <w:name w:val="Colorful Shading - Accent 11"/>
    <w:hidden/>
    <w:uiPriority w:val="71"/>
    <w:rsid w:val="0032208C"/>
    <w:rPr>
      <w:rFonts w:eastAsia="Calibri"/>
      <w:sz w:val="22"/>
      <w:szCs w:val="22"/>
    </w:rPr>
  </w:style>
  <w:style w:styleId="SubtleReference" w:type="character">
    <w:name w:val="Subtle Reference"/>
    <w:basedOn w:val="DefaultParagraphFont"/>
    <w:uiPriority w:val="31"/>
    <w:qFormat/>
    <w:rsid w:val="0032208C"/>
    <w:rPr>
      <w:rFonts w:ascii="Arial Narrow" w:hAnsi="Arial Narrow"/>
      <w:smallCaps/>
      <w:color w:themeColor="text1" w:themeTint="A5" w:val="5A5A5A"/>
      <w:sz w:val="20"/>
    </w:rPr>
  </w:style>
  <w:style w:customStyle="1" w:styleId="Greytitle" w:type="paragraph">
    <w:name w:val="Grey title"/>
    <w:basedOn w:val="Normal"/>
    <w:next w:val="Normal"/>
    <w:qFormat/>
    <w:rsid w:val="0032208C"/>
    <w:pPr>
      <w:keepNext/>
      <w:shd w:color="auto" w:fill="58585A" w:val="clear"/>
      <w:spacing w:before="320" w:line="240" w:lineRule="auto"/>
      <w:ind w:left="57"/>
      <w:jc w:val="left"/>
    </w:pPr>
    <w:rPr>
      <w:rFonts w:eastAsia="Calibri"/>
      <w:b/>
      <w:color w:themeColor="background1" w:val="FFFFFF"/>
    </w:rPr>
  </w:style>
  <w:style w:styleId="PageNumber" w:type="character">
    <w:name w:val="page number"/>
    <w:basedOn w:val="DefaultParagraphFont"/>
    <w:uiPriority w:val="99"/>
    <w:semiHidden/>
    <w:unhideWhenUsed/>
    <w:rsid w:val="0032208C"/>
  </w:style>
  <w:style w:styleId="PlainTable2" w:type="table">
    <w:name w:val="Plain Table 2"/>
    <w:basedOn w:val="TableNormal"/>
    <w:uiPriority w:val="42"/>
    <w:rsid w:val="003A32CB"/>
    <w:rPr>
      <w:rFonts w:asciiTheme="minorHAnsi" w:cstheme="minorBidi" w:eastAsiaTheme="minorHAnsi" w:hAnsiTheme="minorHAnsi"/>
      <w:sz w:val="22"/>
      <w:szCs w:val="22"/>
      <w:lang w:val="fr-FR"/>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TableGrid1" w:type="table">
    <w:name w:val="Table Grid1"/>
    <w:basedOn w:val="TableNormal"/>
    <w:next w:val="TableGrid"/>
    <w:uiPriority w:val="59"/>
    <w:rsid w:val="00041F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1E0BB0"/>
    <w:rPr>
      <w:color w:val="605E5C"/>
      <w:shd w:color="auto" w:fill="E1DFDD" w:val="clear"/>
    </w:rPr>
  </w:style>
  <w:style w:customStyle="1" w:styleId="cf01" w:type="character">
    <w:name w:val="cf01"/>
    <w:basedOn w:val="DefaultParagraphFont"/>
    <w:rsid w:val="009926DF"/>
    <w:rPr>
      <w:rFonts w:ascii="Segoe UI" w:cs="Segoe UI" w:hAnsi="Segoe UI" w:hint="default"/>
      <w:sz w:val="18"/>
      <w:szCs w:val="18"/>
    </w:rPr>
  </w:style>
  <w:style w:customStyle="1" w:styleId="pf0" w:type="paragraph">
    <w:name w:val="pf0"/>
    <w:basedOn w:val="Normal"/>
    <w:rsid w:val="003578E5"/>
    <w:pPr>
      <w:spacing w:after="100" w:afterAutospacing="1" w:before="100" w:beforeAutospacing="1" w:line="240" w:lineRule="auto"/>
      <w:jc w:val="left"/>
    </w:pPr>
    <w:rPr>
      <w:rFonts w:ascii="Times New Roman" w:eastAsia="Times New Roman" w:hAnsi="Times New Roman"/>
      <w:sz w:val="24"/>
      <w:szCs w:val="24"/>
      <w:lang w:eastAsia="en-CH" w:val="en-CH"/>
    </w:rPr>
  </w:style>
  <w:style w:customStyle="1" w:styleId="cf11" w:type="character">
    <w:name w:val="cf11"/>
    <w:basedOn w:val="DefaultParagraphFont"/>
    <w:rsid w:val="005D3B35"/>
    <w:rPr>
      <w:rFonts w:ascii="Segoe UI" w:cs="Segoe UI" w:hAnsi="Segoe UI" w:hint="default"/>
      <w:sz w:val="18"/>
      <w:szCs w:val="18"/>
    </w:rPr>
  </w:style>
  <w:style w:styleId="FollowedHyperlink" w:type="character">
    <w:name w:val="FollowedHyperlink"/>
    <w:basedOn w:val="DefaultParagraphFont"/>
    <w:uiPriority w:val="99"/>
    <w:semiHidden/>
    <w:unhideWhenUsed/>
    <w:rsid w:val="00F6717B"/>
    <w:rPr>
      <w:color w:themeColor="followedHyperlink" w:val="FFF67A"/>
      <w:u w:val="single"/>
    </w:rPr>
  </w:style>
  <w:style w:customStyle="1" w:styleId="Heading6Char" w:type="character">
    <w:name w:val="Heading 6 Char"/>
    <w:basedOn w:val="DefaultParagraphFont"/>
    <w:link w:val="Heading6"/>
    <w:uiPriority w:val="9"/>
    <w:rsid w:val="00C71711"/>
    <w:rPr>
      <w:rFonts w:asciiTheme="majorHAnsi" w:cstheme="majorBidi" w:eastAsiaTheme="majorEastAsia" w:hAnsiTheme="majorHAnsi"/>
      <w:color w:themeColor="accent1" w:themeShade="7F" w:val="930F0F"/>
      <w:sz w:val="22"/>
      <w:szCs w:val="22"/>
    </w:rPr>
  </w:style>
  <w:style w:customStyle="1" w:styleId="Heading7Char" w:type="character">
    <w:name w:val="Heading 7 Char"/>
    <w:basedOn w:val="DefaultParagraphFont"/>
    <w:link w:val="Heading7"/>
    <w:uiPriority w:val="9"/>
    <w:rsid w:val="00907CFC"/>
    <w:rPr>
      <w:rFonts w:asciiTheme="majorHAnsi" w:cstheme="majorBidi" w:eastAsiaTheme="majorEastAsia" w:hAnsiTheme="majorHAnsi"/>
      <w:i/>
      <w:iCs/>
      <w:color w:themeColor="accent1" w:themeShade="7F" w:val="930F0F"/>
      <w:sz w:val="22"/>
      <w:szCs w:val="22"/>
    </w:rPr>
  </w:style>
  <w:style w:customStyle="1" w:styleId="TableGrid2" w:type="table">
    <w:name w:val="Table Grid2"/>
    <w:basedOn w:val="TableNormal"/>
    <w:next w:val="TableGrid"/>
    <w:uiPriority w:val="39"/>
    <w:rsid w:val="00C54E46"/>
    <w:pPr>
      <w:spacing w:before="100"/>
    </w:pPr>
    <w:rPr>
      <w:rFonts w:ascii="Segoe UI Light" w:eastAsia="MS Mincho" w:hAnsi="Segoe UI Light"/>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662292"/>
    <w:pPr>
      <w:spacing w:after="100" w:afterAutospacing="1" w:before="100" w:beforeAutospacing="1" w:line="240" w:lineRule="auto"/>
      <w:jc w:val="left"/>
    </w:pPr>
    <w:rPr>
      <w:rFonts w:ascii="Times New Roman" w:eastAsia="Times New Roman" w:hAnsi="Times New Roman"/>
      <w:sz w:val="24"/>
      <w:szCs w:val="24"/>
    </w:rPr>
  </w:style>
  <w:style w:customStyle="1" w:styleId="Heading8Char" w:type="character">
    <w:name w:val="Heading 8 Char"/>
    <w:basedOn w:val="DefaultParagraphFont"/>
    <w:link w:val="Heading8"/>
    <w:uiPriority w:val="9"/>
    <w:rsid w:val="00931139"/>
    <w:rPr>
      <w:rFonts w:asciiTheme="majorHAnsi" w:cstheme="majorBidi" w:eastAsiaTheme="majorEastAsia" w:hAnsiTheme="majorHAnsi"/>
      <w:color w:themeColor="text1" w:themeTint="D8" w:val="272727"/>
      <w:sz w:val="21"/>
      <w:szCs w:val="2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14" Target="header3.xml" Type="http://schemas.openxmlformats.org/officeDocument/2006/relationships/header" /><Relationship Type="http://schemas.openxmlformats.org/officeDocument/2006/relationships/image" Id="rId39" Target="media/rId39.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217</TotalTime>
  <Pages>2</Pages>
  <Words>50</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2026-07-01T20:52:02Z</dcterms:created>
  <dcterms:modified xsi:type="dcterms:W3CDTF">2026-07-01T20:52:02Z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