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S3. Inconsistencies identified in the current manuscript drafts and the recommended correction for each.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Where it appears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Recommended action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Hybrid MSE columns disagree between documents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Main manuscript Table 4 gives CV MSE 0.6571, test 0.4602, unseen 0.9752; Hybrid model.docx Table 1 gives CV 0.4602, test 0.9752, unseen 0.1921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columns are shifted by one between the two documents. Re-derive from the recomputed values in Table 2 and use a single set throughout.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Nu-SVR "Mean CV MSE" is actually the test MSE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Table 4 reports 0.8591 under "Mean CV MSE"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In the source script 0.8591 is mean_squared_error on the 20% test set. Relabel, or replace with the recomputed CV MSE.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DNN narrative does not match its own table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Hybrid model.docx quotes DNN-1 R2 train 0.8044 / CV 0.7373 and DNN-2 0.9532 / 0.9323; Table 1 of the same document lists neither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Reconcile the text to the table, or supply the runs those numbers came from.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Duplicated rows in the DNN table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DNN-1 and DNN-3 are identical; DNN-2 and DNN-4 are identical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Two distinct architectures cannot give bit-identical metrics across seven columns. Re-run or merge the rows.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Base learners were fitted on different splits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Nu-SVR used random_state=1, all four DNNs used random_state=42, and the two were then stacked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ensemble members saw different training sets. All results here use one split per run.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Hyperparameters were selected on the test set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W_new includes R2 test and the test MSE/RMSE/MAE, and the reported model is the W_new maximum over the n_components sweep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This makes the reported test R2 an optimistic estimate. Select on cross-validated R2 and quote the test set once, at the end.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Meta-learner trained on in-sample base predictions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No out-of-fold scheme is described for the Ridge stack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Stacking on in-sample predictions inflates the meta-learner. With out-of-fold stacking the hybrid no longer consistently beats Nu-SVR (Table 2).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Random splits leak duplicate structures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10 of 25 test rows and 4 of 13 holdout rows share a canonical SMILES with the training set at random_state=1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Report the structure-disjoint split alongside the random one (Table 2).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Model comparisons are not statistically resolvable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Hybrid test R2 0.6560 vs Nu-SVR 0.6532, a difference of 0.0028, on 23-25 test molecules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bootstrap 95% CI on test R2 spans roughly +/-0.5. State that the models are statistically indistinguishable rather than ranking them.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SHAP interpretation attributes importance to protein confidence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PC1 (mean |SHAP| 0.807) loads on pLDDT quantiles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AlphaFold block is constant within a protein, so PC1 largely encodes target identity. Target dummies alone give CV R2 0.34. Reword the interpretation.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Feature count stated inconsistently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Table 3 total reads "~270-280 272"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matrix has exactly 272 feature columns. Fix the cell.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Number of AlphaFold feature vectors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Methods describe four proteins; the data contain eight distinct pLDDT/PAE signatures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Groups 5-7 differ only in the third decimal and two are singletons. Verify which AlphaFold run each ligand was assigned.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6"/>
              </w:rPr>
              <w:t>Repository does not contain the pipeline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The README advertises scripts/classical_ml_pipeline.py, hybrid_model_training.py, data/, models/ and outputs/; none exist in the repository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6"/>
              </w:rPr>
              <w:t>Publish the actual training code, or point the manuscript at this benchmark repository.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