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>Table 5. Quantum-chemical descriptors computed for the 122 ligands, and their univariate association with pIC50.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6"/>
              </w:rPr>
              <w:t>Descriptor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Unit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Mean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SD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Min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Max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r (pIC50)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p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rho (pIC50)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sz w:val="16"/>
              </w:rPr>
              <w:t>E(HOMO)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eV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-6.184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0.881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-8.164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-1.613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0.179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0.0481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0.278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sz w:val="16"/>
              </w:rPr>
              <w:t>E(LUMO)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eV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-2.723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0.764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-4.542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1.466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0.247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0.0062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0.3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sz w:val="16"/>
              </w:rPr>
              <w:t>HOMO-LUMO gap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eV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3.461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0.59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2.145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5.388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0.052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0.573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0.035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sz w:val="16"/>
              </w:rPr>
              <w:t>Ionization potential (Koopmans)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eV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6.184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0.881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1.613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8.164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-0.179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0.0481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-0.278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sz w:val="16"/>
              </w:rPr>
              <w:t>Electron affinity (Koopmans)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eV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2.723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0.764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-1.466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4.542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-0.247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0.0062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-0.3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sz w:val="16"/>
              </w:rPr>
              <w:t>Chemical potential, mu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eV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-4.453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0.77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-6.353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-0.073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0.225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0.0128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0.309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sz w:val="16"/>
              </w:rPr>
              <w:t>Chemical hardness, eta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eV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1.73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0.295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1.073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2.694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0.052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0.573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0.035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sz w:val="16"/>
              </w:rPr>
              <w:t>Softness, S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1/eV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0.596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0.111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0.371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0.932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-0.065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0.474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-0.035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sz w:val="16"/>
              </w:rPr>
              <w:t>Electrophilicity index, omega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eV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5.993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1.831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0.002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12.994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-0.258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0.00405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-0.281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sz w:val="16"/>
              </w:rPr>
              <w:t>Dipole moment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D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5.551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6.817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0.0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31.868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0.168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0.065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0.174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sz w:val="16"/>
              </w:rPr>
              <w:t>Quadrupole anisotropy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a.u.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115.319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106.735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22.602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589.225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0.126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0.165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0.036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sz w:val="16"/>
              </w:rPr>
              <w:t>Most negative Mulliken charge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e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-0.288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0.08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-0.488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-0.134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-0.052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0.571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-0.004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sz w:val="16"/>
              </w:rPr>
              <w:t>Most positive Mulliken charge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e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0.24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0.153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0.113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0.957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0.018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0.846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0.14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sz w:val="16"/>
              </w:rPr>
              <w:t>Mulliken charge range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e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0.529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0.21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0.275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1.445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0.033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0.721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0.08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rPr>
                <w:sz w:val="16"/>
              </w:rPr>
              <w:t>GFN2-xTB solvation free energy (water)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Eh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-0.038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0.029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-0.12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-0.011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-0.175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0.0543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6"/>
              </w:rPr>
              <w:t>-0.131</w:t>
            </w:r>
          </w:p>
        </w:tc>
      </w:tr>
    </w:tbl>
    <w:p>
      <w:r>
        <w:rPr>
          <w:i/>
          <w:sz w:val="15"/>
        </w:rPr>
        <w:t>B3LYP/def2-SVP single-point energies (def2 ECP on iodine) on GFN2-xTB optimised geometries started from the docked/MD pose. Reactivity indices follow the Koopmans approximation. p-values are uncorrected for multiple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