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Table S1. Descriptor sets benchmarked, with provenance.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Descriptor set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Key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Molecules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Descriptors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Missing cells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pIC50 source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Source file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SHA-256 (16)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6"/>
              </w:rPr>
              <w:t>MD + AlphaFold + MACCS (272)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md272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272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in-file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2.csv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ce27987600db0bf7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6"/>
              </w:rPr>
              <w:t>MD + AlphaFold + MACCS, outliers removed (272)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md272_clean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115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272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in-file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2_cleaned.csv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0350e164e74e1c90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6"/>
              </w:rPr>
              <w:t>MD + energetics + ligand-PCA + residue forces (89)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md_core89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89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in-file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2.csv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ce27987600db0bf7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6"/>
              </w:rPr>
              <w:t>MACCS fingerprints only (167)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maccs167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167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in-file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2.csv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ce27987600db0bf7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6"/>
              </w:rPr>
              <w:t>AlphaFold pLDDT/PAE only (16)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alphafold16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in-file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2.csv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ce27987600db0bf7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6"/>
              </w:rPr>
              <w:t>PaDEL 2D/3D descriptors (1444)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padel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1444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189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attached by row index from 2.csv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JDes_output3.csv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0cd4af60bfafbc07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6"/>
              </w:rPr>
              <w:t>MD block + PaDEL block (1549)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fused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1549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in-file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5_imputed.csv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60a2fb1693c83f7d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6"/>
              </w:rPr>
              <w:t>Pose-derived 3D descriptors (112194)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mol2desc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62571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in-file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merged_descriptors_with_pic50.csv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fb621e7f17c2d622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6"/>
              </w:rPr>
              <w:t>DFT/xTB quantum descriptors (this work)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dft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109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in-file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quantum_descriptors.csv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55a7065419d6812e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>
              <w:rPr>
                <w:sz w:val="16"/>
              </w:rPr>
              <w:t>DFT quantum + MD block (this work)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dft_plus_md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122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381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in-file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(derived)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6"/>
              </w:rPr>
              <w:t>-</w:t>
            </w:r>
          </w:p>
        </w:tc>
      </w:tr>
    </w:tbl>
    <w:p>
      <w:r>
        <w:rPr>
          <w:i/>
          <w:sz w:val="15"/>
        </w:rPr>
        <w:t>All sets share the same 122-molecule row order and the same pIC50 vector; the PaDEL file carries no target column, so pIC50 was attached by row index. SHA-256 prefixes identify the exact input files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