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>Table S2. Independent reproduction of the published Nu-SVR result.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Published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Reproduced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Difference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6"/>
              </w:rPr>
              <w:t>R2 train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0.8582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0.8581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-0.0001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6"/>
              </w:rPr>
              <w:t>R2 CV (5-fold)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0.5423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0.5743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0.032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6"/>
              </w:rPr>
              <w:t>R2 test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0.6532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0.6647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0.0115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6"/>
              </w:rPr>
              <w:t>R2 holdout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0.6668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0.6537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-0.0131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6"/>
              </w:rPr>
              <w:t>MSE test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0.8591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0.8305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-0.0286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6"/>
              </w:rPr>
              <w:t>RMSE test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0.9269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0.9113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-0.0156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6"/>
              </w:rPr>
              <w:t>MAE test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0.6265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0.6137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-0.0128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6"/>
              </w:rPr>
              <w:t>W_new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0.3068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0.3318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0.025</w:t>
            </w:r>
          </w:p>
        </w:tc>
      </w:tr>
    </w:tbl>
    <w:p>
      <w:r>
        <w:rPr>
          <w:i/>
          <w:sz w:val="15"/>
        </w:rPr>
        <w:t>Reproduced with the harness in src/hybrid_pipeline.py on 2_cleaned.csv, random_state = 1, hyperparameters ranked by W_new exactly as in the original script. Every metric falls within tolerance; the training R2 agrees to four decimal places. The residual differences arise because the sweep selected 20 principal components rather than 17 on a W_new tie, and because preprocessing here is fitted inside the cross-validation folds rather than on the full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