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S3. Inconsistencies identified in the current manuscript drafts and the recommended correction for each.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Where it appears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Recommended action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Hybrid MSE columns disagree between documents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Main manuscript Table 4 gives CV MSE 0.6571, test 0.4602, unseen 0.9752; Hybrid model.docx Table 1 gives CV 0.4602, test 0.9752, unseen 0.1921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columns are shifted by one between the two documents. Re-derive from the recomputed values in Table 2 and use a single set throughout.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Nu-SVR "Mean CV MSE" is actually the test MSE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Table 4 reports 0.8591 under "Mean CV MSE"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In the source script 0.8591 is mean_squared_error on the 20% test set. Relabel, or replace with the recomputed CV MSE.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DNN narrative does not match its own table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Hybrid model.docx quotes DNN-1 R2 train 0.8044 / CV 0.7373 and DNN-2 0.9532 / 0.9323; Table 1 of the same document lists neither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Reconcile the text to the table, or supply the runs those numbers came from.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Duplicated rows in the DNN table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DNN-1 and DNN-3 are identical; DNN-2 and DNN-4 are identical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Two distinct architectures cannot give bit-identical metrics across seven columns. Re-run or merge the rows.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Base learners were fitted on different splits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Nu-SVR used random_state=1, all four DNNs used random_state=42, and the two were then stacked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ensemble members saw different training sets. All results here use one split per run.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Hyperparameters were selected on the test set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W_new includes R2 test and the test MSE/RMSE/MAE, and the reported model is the W_new maximum over the n_components sweep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This makes the reported test R2 an optimistic estimate. Select on cross-validated R2 and quote the test set once, at the end.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Meta-learner trained on in-sample base predictions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No out-of-fold scheme is described for the Ridge stack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Stacking on in-sample predictions inflates the meta-learner. With out-of-fold stacking the hybrid no longer consistently beats Nu-SVR (Table 2).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Random splits leak duplicate structures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10 of 25 test rows and 4 of 13 holdout rows share a canonical SMILES with the training set at random_state=1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Report the structure-disjoint split alongside the random one (Table 2).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Model comparisons are not statistically resolvable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Hybrid test R2 0.6560 vs Nu-SVR 0.6532, a difference of 0.0028, on 23-25 test molecules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bootstrap 95% CI on test R2 spans roughly +/-0.5. State that the models are statistically indistinguishable rather than ranking them.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SHAP interpretation attributes importance to protein confidence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PC1 (mean |SHAP| 0.807) loads on pLDDT quantiles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AlphaFold block is constant within a protein, so PC1 largely encodes target identity. Target dummies alone give CV R2 0.34. Reword the interpretation.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Feature count stated inconsistently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Table 3 total reads "~270-280 272"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matrix has exactly 272 feature columns. Fix the cell.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Number of AlphaFold feature vectors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Methods describe four proteins; the data contain eight distinct pLDDT/PAE signatures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Groups 5-7 differ only in the third decimal and two are singletons. Verify which AlphaFold run each ligand was assigned.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Ligand-PCA columns are array dimensions, not deformations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Section 2.3 describes "PCA components shape" as structural deformations and "Average Structure Shape" as the mean conformation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extraction script recorded pca.components_.shape and average_structure.shape. PCA-components-shape1 is the constant 3, Average-structure-shape is the ligand atom count (24 to 72) and PCA-components-shape2 is three times it. They correlate with pIC50 at r = 0.581. Describe them as ligand-size descriptors; replacement text in docs/METHODS_CORRECTION_LIGAND_PCA.md.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Impossible PAE mean for one protein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AlphaFold block, TDP1 (6N0D) signature: PAE Mean 30.07 with Q25 1.4, Q50 1.9, Q75 2.70 and Max 30.5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A mean cannot sit at the maximum when three quarters of the distribution is below 2.70. The source JSON gives 3.07, so a zero was inserted. The affected row carries the 17 most potent compounds. Correct to 3.07 in any revised matrix.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Hydrogen bonds and water bridges were never counted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ligand_protein_interaction_forces.py passed the same atom twice to the angle function, so both angles evaluated to NaN and every cutoff comparison failed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20 residue descriptors contain only hydrophobic and ionic contributions; cation-pi had a cutoff but no detection code. Methods should state which interaction types actually entered the features, or the descriptors should be regenerated with the corrected script.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AlphaFold pLDDT averaged over the wrong atoms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alphafold_feature_extraction.py zipped per-atom pLDDT against per-token residue ids, using only the first 248 of 1978 atom scores for 1SJ0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Roughly 87 per cent of each structure was discarded. Corrected values differ materially, for example 8AOJ rises from 69.30 to 87.29.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Repository does not contain the pipeline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README advertises scripts/classical_ml_pipeline.py, hybrid_model_training.py, data/, models/ and outputs/; none exist in the repository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Publish the actual training code, or point the manuscript at this benchmark repository.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