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77777777"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t xml:space="preserve">  1.12.2019</w:t>
      </w:r>
    </w:p>
    <w:p w14:paraId="3C0FC747" w14:textId="77777777" w:rsidR="00F115AC" w:rsidRDefault="009459E8">
      <w:pPr>
        <w:pStyle w:val="Nadpis1"/>
      </w:pPr>
      <w:r>
        <w:lastRenderedPageBreak/>
        <w:t>Úvod</w:t>
      </w:r>
    </w:p>
    <w:p w14:paraId="445CB8D2" w14:textId="77777777" w:rsidR="00F115AC" w:rsidRDefault="009459E8">
      <w:pPr>
        <w:pStyle w:val="Zkladntext"/>
        <w:ind w:firstLine="708"/>
      </w:pPr>
      <w:commentRangeStart w:id="0"/>
      <w:commentRangeEnd w:id="0"/>
      <w:r>
        <w:commentReference w:id="0"/>
      </w:r>
      <w:r>
        <w:t xml:space="preserve">Cílem této Simulační studie je sestavit model středně velkého </w:t>
      </w:r>
      <w:proofErr w:type="spellStart"/>
      <w:r>
        <w:t>evropske</w:t>
      </w:r>
      <w:proofErr w:type="spellEnd"/>
      <w:r>
        <w:t xml:space="preserv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637BC62C" w14:textId="77777777" w:rsidR="00F115AC" w:rsidRDefault="009459E8">
      <w:r>
        <w:tab/>
      </w:r>
      <w:commentRangeStart w:id="2"/>
      <w:commentRangeEnd w:id="2"/>
      <w:r>
        <w:commentReference w:id="2"/>
      </w:r>
      <w:r>
        <w:t xml:space="preserve">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w:t>
      </w:r>
      <w:proofErr w:type="spellStart"/>
      <w:r>
        <w:t>Melia</w:t>
      </w:r>
      <w:proofErr w:type="spellEnd"/>
      <w:r>
        <w:t xml:space="preserve"> přestat jezdit automobily, neboť osobní vozidla způsobují asi 60.7 \% CO2 emisí z celkového množství emisí, které produkuje doprava \cite {co2_eu}, což je asi 12 \% z celkového množství emisí, které produkuje Evropa \cite {co2_eu_law}.</w:t>
      </w:r>
    </w:p>
    <w:p w14:paraId="1E6E6598" w14:textId="77777777" w:rsidR="00F115AC" w:rsidRDefault="00F115AC">
      <w:pPr>
        <w:pStyle w:val="Zkladntext"/>
      </w:pPr>
    </w:p>
    <w:p w14:paraId="0C3C495F" w14:textId="77777777" w:rsidR="00F115AC" w:rsidRDefault="009459E8">
      <w:pPr>
        <w:pStyle w:val="Zkladntext"/>
        <w:spacing w:after="0"/>
      </w:pPr>
      <w: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14:paraId="7FD76A1F" w14:textId="77777777" w:rsidR="00F115AC" w:rsidRDefault="009459E8">
      <w:pPr>
        <w:pStyle w:val="Zkladntext"/>
      </w:pPr>
      <w:commentRangeStart w:id="3"/>
      <w:commentRangeEnd w:id="3"/>
      <w:r>
        <w:commentReference w:id="3"/>
      </w:r>
    </w:p>
    <w:p w14:paraId="060F1257" w14:textId="1106BAB1"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0B3F3673" w14:textId="77777777" w:rsidR="00486EC3" w:rsidRDefault="00486EC3" w:rsidP="00486EC3">
      <w:pPr>
        <w:ind w:firstLine="708"/>
      </w:pPr>
      <w:r>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13189F04" w14:textId="77777777" w:rsidR="00486EC3" w:rsidRDefault="00486EC3" w:rsidP="00486EC3"/>
    <w:p w14:paraId="329909A3" w14:textId="77777777" w:rsidR="00486EC3" w:rsidRDefault="00486EC3" w:rsidP="00486EC3"/>
    <w:p w14:paraId="1CF88834" w14:textId="77777777" w:rsidR="00486EC3" w:rsidRDefault="00486EC3" w:rsidP="00486EC3">
      <w:pPr>
        <w:spacing w:after="0"/>
        <w:ind w:left="4956"/>
      </w:pPr>
    </w:p>
    <w:p w14:paraId="058DE984" w14:textId="6C6FA42A" w:rsidR="00486EC3" w:rsidRDefault="00486EC3" w:rsidP="00486EC3"/>
    <w:p w14:paraId="30443064" w14:textId="77777777" w:rsidR="00486EC3" w:rsidRDefault="00486EC3" w:rsidP="00486EC3">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50DF0FF5"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63D73E4" w14:textId="77777777" w:rsidR="00F115AC" w:rsidRDefault="00486EC3" w:rsidP="00486EC3">
      <w:r>
        <w:t>Spaliny jsou z valné většiny tvořeny oxidem uhličitým a různými prvky/sloučeninami, jež jsou produkty hoření paliva.</w:t>
      </w:r>
    </w:p>
    <w:p w14:paraId="1E93A90D" w14:textId="115CB227" w:rsidR="00F115AC" w:rsidRDefault="00F115AC"/>
    <w:p w14:paraId="2C2B2B3B" w14:textId="0F263E98" w:rsidR="00813FE4" w:rsidRDefault="00813FE4"/>
    <w:p w14:paraId="493BFD9F" w14:textId="1D7DA3A4" w:rsidR="00813FE4" w:rsidRDefault="00813FE4"/>
    <w:p w14:paraId="77FB8D1D" w14:textId="086176C4" w:rsidR="00813FE4" w:rsidRDefault="00813FE4"/>
    <w:p w14:paraId="1E15FFF7" w14:textId="4D097A80" w:rsidR="00813FE4" w:rsidRDefault="00813FE4"/>
    <w:p w14:paraId="5405A797" w14:textId="77777777" w:rsidR="00813FE4" w:rsidRDefault="00813FE4" w:rsidP="00813FE4">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3 Koncepce modelu</w:t>
      </w:r>
    </w:p>
    <w:p w14:paraId="77FB39B2" w14:textId="77712303" w:rsidR="00813FE4" w:rsidRDefault="00813FE4" w:rsidP="00813FE4">
      <w:pPr>
        <w:pStyle w:val="Nadpis2"/>
      </w:pPr>
      <w:r>
        <w:t xml:space="preserve">3.1 </w:t>
      </w:r>
      <w:r w:rsidRPr="00813FE4">
        <w:t>Popis konceptuálního modelu</w:t>
      </w:r>
    </w:p>
    <w:p w14:paraId="7FAD5D2F" w14:textId="5AE43B08" w:rsidR="00813FE4" w:rsidRDefault="00813FE4" w:rsidP="00813FE4">
      <w:pPr>
        <w:autoSpaceDE w:val="0"/>
        <w:autoSpaceDN w:val="0"/>
        <w:adjustRightInd w:val="0"/>
        <w:spacing w:after="0" w:line="240" w:lineRule="auto"/>
        <w:rPr>
          <w:rFonts w:ascii="NimbusRomNo9L-Regu" w:hAnsi="NimbusRomNo9L-Regu" w:cs="NimbusRomNo9L-Regu"/>
        </w:rPr>
      </w:pPr>
      <w:proofErr w:type="spellStart"/>
      <w:r w:rsidRPr="00813FE4">
        <w:rPr>
          <w:rFonts w:ascii="NimbusRomNo9L-Regu" w:hAnsi="NimbusRomNo9L-Regu" w:cs="NimbusRomNo9L-Regu"/>
        </w:rPr>
        <w:t>Cieľom</w:t>
      </w:r>
      <w:proofErr w:type="spellEnd"/>
      <w:r w:rsidRPr="00813FE4">
        <w:rPr>
          <w:rFonts w:ascii="NimbusRomNo9L-Regu" w:hAnsi="NimbusRomNo9L-Regu" w:cs="NimbusRomNo9L-Regu"/>
        </w:rPr>
        <w:t xml:space="preserve"> modelu, viz PETRIHO SIEŤ,  je </w:t>
      </w:r>
      <w:proofErr w:type="spellStart"/>
      <w:r w:rsidRPr="00813FE4">
        <w:rPr>
          <w:rFonts w:ascii="NimbusRomNo9L-Regu" w:hAnsi="NimbusRomNo9L-Regu" w:cs="NimbusRomNo9L-Regu"/>
        </w:rPr>
        <w:t>simulovať</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bežný</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pracovný</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deň</w:t>
      </w:r>
      <w:proofErr w:type="spellEnd"/>
      <w:r w:rsidRPr="00813FE4">
        <w:rPr>
          <w:rFonts w:ascii="NimbusRomNo9L-Regu" w:hAnsi="NimbusRomNo9L-Regu" w:cs="NimbusRomNo9L-Regu"/>
        </w:rPr>
        <w:t xml:space="preserve"> v </w:t>
      </w:r>
      <w:proofErr w:type="spellStart"/>
      <w:r w:rsidRPr="00813FE4">
        <w:rPr>
          <w:rFonts w:ascii="NimbusRomNo9L-Regu" w:hAnsi="NimbusRomNo9L-Regu" w:cs="NimbusRomNo9L-Regu"/>
        </w:rPr>
        <w:t>stredne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veľkom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európskom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meste</w:t>
      </w:r>
      <w:proofErr w:type="spellEnd"/>
      <w:r w:rsidRPr="00813FE4">
        <w:rPr>
          <w:rFonts w:ascii="NimbusRomNo9L-Regu" w:hAnsi="NimbusRomNo9L-Regu" w:cs="NimbusRomNo9L-Regu"/>
        </w:rPr>
        <w:t xml:space="preserve">, a </w:t>
      </w:r>
      <w:proofErr w:type="spellStart"/>
      <w:r w:rsidRPr="00813FE4">
        <w:rPr>
          <w:rFonts w:ascii="NimbusRomNo9L-Regu" w:hAnsi="NimbusRomNo9L-Regu" w:cs="NimbusRomNo9L-Regu"/>
        </w:rPr>
        <w:t>ako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rozhodnutia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jednotlivcov</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ovplyvňujú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celkovú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dennú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produkciu</w:t>
      </w:r>
      <w:proofErr w:type="spellEnd"/>
      <w:r w:rsidRPr="00813FE4">
        <w:rPr>
          <w:rFonts w:ascii="NimbusRomNo9L-Regu" w:hAnsi="NimbusRomNo9L-Regu" w:cs="NimbusRomNo9L-Regu"/>
        </w:rPr>
        <w:t xml:space="preserve"> CO2 </w:t>
      </w:r>
      <w:proofErr w:type="spellStart"/>
      <w:r w:rsidRPr="00813FE4">
        <w:rPr>
          <w:rFonts w:ascii="NimbusRomNo9L-Regu" w:hAnsi="NimbusRomNo9L-Regu" w:cs="NimbusRomNo9L-Regu"/>
        </w:rPr>
        <w:t>emisií</w:t>
      </w:r>
      <w:proofErr w:type="spellEnd"/>
      <w:r w:rsidRPr="00813FE4">
        <w:rPr>
          <w:rFonts w:ascii="NimbusRomNo9L-Regu" w:hAnsi="NimbusRomNo9L-Regu" w:cs="NimbusRomNo9L-Regu"/>
        </w:rPr>
        <w:t xml:space="preserve">. Vstupným </w:t>
      </w:r>
      <w:proofErr w:type="spellStart"/>
      <w:r w:rsidRPr="00813FE4">
        <w:rPr>
          <w:rFonts w:ascii="NimbusRomNo9L-Regu" w:hAnsi="NimbusRomNo9L-Regu" w:cs="NimbusRomNo9L-Regu"/>
        </w:rPr>
        <w:t>parametrom</w:t>
      </w:r>
      <w:proofErr w:type="spellEnd"/>
      <w:r w:rsidRPr="00813FE4">
        <w:rPr>
          <w:rFonts w:ascii="NimbusRomNo9L-Regu" w:hAnsi="NimbusRomNo9L-Regu" w:cs="NimbusRomNo9L-Regu"/>
        </w:rPr>
        <w:t xml:space="preserve"> modelu je počet </w:t>
      </w:r>
      <w:proofErr w:type="spellStart"/>
      <w:r w:rsidRPr="00813FE4">
        <w:rPr>
          <w:rFonts w:ascii="NimbusRomNo9L-Regu" w:hAnsi="NimbusRomNo9L-Regu" w:cs="NimbusRomNo9L-Regu"/>
        </w:rPr>
        <w:t>osôb</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majú</w:t>
      </w:r>
      <w:proofErr w:type="spellEnd"/>
      <w:r w:rsidRPr="00813FE4">
        <w:rPr>
          <w:rFonts w:ascii="NimbusRomNo9L-Regu" w:hAnsi="NimbusRomNo9L-Regu" w:cs="NimbusRomNo9L-Regu"/>
        </w:rPr>
        <w:t xml:space="preserve"> byť </w:t>
      </w:r>
      <w:proofErr w:type="spellStart"/>
      <w:r w:rsidRPr="00813FE4">
        <w:rPr>
          <w:rFonts w:ascii="NimbusRomNo9L-Regu" w:hAnsi="NimbusRomNo9L-Regu" w:cs="NimbusRomNo9L-Regu"/>
        </w:rPr>
        <w:t>prepravené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vrámci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jedného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dňa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zjednodušenie</w:t>
      </w:r>
      <w:proofErr w:type="spellEnd"/>
      <w:r w:rsidRPr="00813FE4">
        <w:rPr>
          <w:rFonts w:ascii="NimbusRomNo9L-Regu" w:hAnsi="NimbusRomNo9L-Regu" w:cs="NimbusRomNo9L-Regu"/>
        </w:rPr>
        <w:t xml:space="preserve"> modelu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w:t>
      </w:r>
      <w:proofErr w:type="spellStart"/>
      <w:r w:rsidRPr="00813FE4">
        <w:rPr>
          <w:rFonts w:ascii="NimbusRomNo9L-Regu" w:hAnsi="NimbusRomNo9L-Regu" w:cs="NimbusRomNo9L-Regu"/>
        </w:rPr>
        <w:t>vrámci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tohto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jedného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dňa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musia</w:t>
      </w:r>
      <w:proofErr w:type="spellEnd"/>
      <w:r w:rsidRPr="00813FE4">
        <w:rPr>
          <w:rFonts w:ascii="NimbusRomNo9L-Regu" w:hAnsi="NimbusRomNo9L-Regu" w:cs="NimbusRomNo9L-Regu"/>
        </w:rPr>
        <w:t xml:space="preserve"> byť </w:t>
      </w:r>
      <w:proofErr w:type="spellStart"/>
      <w:r w:rsidRPr="00813FE4">
        <w:rPr>
          <w:rFonts w:ascii="NimbusRomNo9L-Regu" w:hAnsi="NimbusRomNo9L-Regu" w:cs="NimbusRomNo9L-Regu"/>
        </w:rPr>
        <w:t>úspešne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prepravené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všetky</w:t>
      </w:r>
      <w:proofErr w:type="spellEnd"/>
      <w:r w:rsidRPr="00813FE4">
        <w:rPr>
          <w:rFonts w:ascii="NimbusRomNo9L-Regu" w:hAnsi="NimbusRomNo9L-Regu" w:cs="NimbusRomNo9L-Regu"/>
        </w:rPr>
        <w:t xml:space="preserve"> osoby. V </w:t>
      </w:r>
      <w:proofErr w:type="spellStart"/>
      <w:r w:rsidRPr="00813FE4">
        <w:rPr>
          <w:rFonts w:ascii="NimbusRomNo9L-Regu" w:hAnsi="NimbusRomNo9L-Regu" w:cs="NimbusRomNo9L-Regu"/>
        </w:rPr>
        <w:t>Európskej</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únii</w:t>
      </w:r>
      <w:proofErr w:type="spellEnd"/>
      <w:r w:rsidRPr="00813FE4">
        <w:rPr>
          <w:rFonts w:ascii="NimbusRomNo9L-Regu" w:hAnsi="NimbusRomNo9L-Regu" w:cs="NimbusRomNo9L-Regu"/>
        </w:rPr>
        <w:t xml:space="preserve"> vlastní asi 60\% </w:t>
      </w:r>
      <w:proofErr w:type="spellStart"/>
      <w:r w:rsidRPr="00813FE4">
        <w:rPr>
          <w:rFonts w:ascii="NimbusRomNo9L-Regu" w:hAnsi="NimbusRomNo9L-Regu" w:cs="NimbusRomNo9L-Regu"/>
        </w:rPr>
        <w:t>obyvateľstva</w:t>
      </w:r>
      <w:proofErr w:type="spellEnd"/>
      <w:r w:rsidRPr="00813FE4">
        <w:rPr>
          <w:rFonts w:ascii="NimbusRomNo9L-Regu" w:hAnsi="NimbusRomNo9L-Regu" w:cs="NimbusRomNo9L-Regu"/>
        </w:rPr>
        <w:t xml:space="preserve"> aspoň 1 vozidlo, </w:t>
      </w:r>
      <w:proofErr w:type="spellStart"/>
      <w:r w:rsidRPr="00813FE4">
        <w:rPr>
          <w:rFonts w:ascii="NimbusRomNo9L-Regu" w:hAnsi="NimbusRomNo9L-Regu" w:cs="NimbusRomNo9L-Regu"/>
        </w:rPr>
        <w:t>preto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každá osoba má 60\% </w:t>
      </w:r>
      <w:proofErr w:type="spellStart"/>
      <w:r w:rsidRPr="00813FE4">
        <w:rPr>
          <w:rFonts w:ascii="NimbusRomNo9L-Regu" w:hAnsi="NimbusRomNo9L-Regu" w:cs="NimbusRomNo9L-Regu"/>
        </w:rPr>
        <w:t>šancu</w:t>
      </w:r>
      <w:proofErr w:type="spellEnd"/>
      <w:r w:rsidRPr="00813FE4">
        <w:rPr>
          <w:rFonts w:ascii="NimbusRomNo9L-Regu" w:hAnsi="NimbusRomNo9L-Regu" w:cs="NimbusRomNo9L-Regu"/>
        </w:rPr>
        <w:t xml:space="preserve">, že </w:t>
      </w:r>
      <w:r w:rsidRPr="00813FE4">
        <w:rPr>
          <w:rFonts w:ascii="NimbusRomNo9L-Regu" w:hAnsi="NimbusRomNo9L-Regu" w:cs="NimbusRomNo9L-Regu"/>
        </w:rPr>
        <w:lastRenderedPageBreak/>
        <w:t>vlastní aspoň jedno vozidlo \cite{</w:t>
      </w:r>
      <w:proofErr w:type="spellStart"/>
      <w:r w:rsidRPr="00813FE4">
        <w:rPr>
          <w:rFonts w:ascii="NimbusRomNo9L-Regu" w:hAnsi="NimbusRomNo9L-Regu" w:cs="NimbusRomNo9L-Regu"/>
        </w:rPr>
        <w:t>rss</w:t>
      </w:r>
      <w:proofErr w:type="spellEnd"/>
      <w:r w:rsidRPr="00813FE4">
        <w:rPr>
          <w:rFonts w:ascii="NimbusRomNo9L-Regu" w:hAnsi="NimbusRomNo9L-Regu" w:cs="NimbusRomNo9L-Regu"/>
        </w:rPr>
        <w:t xml:space="preserve">}. Osoby,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auto </w:t>
      </w:r>
      <w:proofErr w:type="spellStart"/>
      <w:r w:rsidRPr="00813FE4">
        <w:rPr>
          <w:rFonts w:ascii="NimbusRomNo9L-Regu" w:hAnsi="NimbusRomNo9L-Regu" w:cs="NimbusRomNo9L-Regu"/>
        </w:rPr>
        <w:t>nevlastnia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idú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hneď</w:t>
      </w:r>
      <w:proofErr w:type="spellEnd"/>
      <w:r w:rsidRPr="00813FE4">
        <w:rPr>
          <w:rFonts w:ascii="NimbusRomNo9L-Regu" w:hAnsi="NimbusRomNo9L-Regu" w:cs="NimbusRomNo9L-Regu"/>
        </w:rPr>
        <w:t xml:space="preserve"> na zastávku autobusu MHD.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soby,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auto </w:t>
      </w:r>
      <w:proofErr w:type="spellStart"/>
      <w:r w:rsidRPr="00813FE4">
        <w:rPr>
          <w:rFonts w:ascii="NimbusRomNo9L-Regu" w:hAnsi="NimbusRomNo9L-Regu" w:cs="NimbusRomNo9L-Regu"/>
        </w:rPr>
        <w:t>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rozhodnú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použiť</w:t>
      </w:r>
      <w:proofErr w:type="spellEnd"/>
      <w:r w:rsidRPr="00813FE4">
        <w:rPr>
          <w:rFonts w:ascii="NimbusRomNo9L-Regu" w:hAnsi="NimbusRomNo9L-Regu" w:cs="NimbusRomNo9L-Regu"/>
        </w:rPr>
        <w:t xml:space="preserve"> MHD s </w:t>
      </w:r>
      <w:proofErr w:type="spellStart"/>
      <w:r w:rsidRPr="00813FE4">
        <w:rPr>
          <w:rFonts w:ascii="NimbusRomNo9L-Regu" w:hAnsi="NimbusRomNo9L-Regu" w:cs="NimbusRomNo9L-Regu"/>
        </w:rPr>
        <w:t>pravdepodobnosťou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približne</w:t>
      </w:r>
      <w:proofErr w:type="spellEnd"/>
      <w:r w:rsidRPr="00813FE4">
        <w:rPr>
          <w:rFonts w:ascii="NimbusRomNo9L-Regu" w:hAnsi="NimbusRomNo9L-Regu" w:cs="NimbusRomNo9L-Regu"/>
        </w:rPr>
        <w:t xml:space="preserve"> 25\% na základe </w:t>
      </w:r>
      <w:proofErr w:type="spellStart"/>
      <w:r w:rsidRPr="00813FE4">
        <w:rPr>
          <w:rFonts w:ascii="NimbusRomNo9L-Regu" w:hAnsi="NimbusRomNo9L-Regu" w:cs="NimbusRomNo9L-Regu"/>
        </w:rPr>
        <w:t>prieskumu</w:t>
      </w:r>
      <w:proofErr w:type="spellEnd"/>
      <w:r w:rsidRPr="00813FE4">
        <w:rPr>
          <w:rFonts w:ascii="NimbusRomNo9L-Regu" w:hAnsi="NimbusRomNo9L-Regu" w:cs="NimbusRomNo9L-Regu"/>
        </w:rPr>
        <w:t xml:space="preserve">. Tento údaj </w:t>
      </w:r>
      <w:proofErr w:type="spellStart"/>
      <w:r w:rsidRPr="00813FE4">
        <w:rPr>
          <w:rFonts w:ascii="NimbusRomNo9L-Regu" w:hAnsi="NimbusRomNo9L-Regu" w:cs="NimbusRomNo9L-Regu"/>
        </w:rPr>
        <w:t>vznikol</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spriemerovaním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hodnôt</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európskych</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krajín</w:t>
      </w:r>
      <w:proofErr w:type="spellEnd"/>
      <w:r w:rsidRPr="00813FE4">
        <w:rPr>
          <w:rFonts w:ascii="NimbusRomNo9L-Regu" w:hAnsi="NimbusRomNo9L-Regu" w:cs="NimbusRomNo9L-Regu"/>
        </w:rPr>
        <w:t xml:space="preserve">, kde respondenti </w:t>
      </w:r>
      <w:proofErr w:type="spellStart"/>
      <w:r w:rsidRPr="00813FE4">
        <w:rPr>
          <w:rFonts w:ascii="NimbusRomNo9L-Regu" w:hAnsi="NimbusRomNo9L-Regu" w:cs="NimbusRomNo9L-Regu"/>
        </w:rPr>
        <w:t>povedali</w:t>
      </w:r>
      <w:proofErr w:type="spellEnd"/>
      <w:r w:rsidRPr="00813FE4">
        <w:rPr>
          <w:rFonts w:ascii="NimbusRomNo9L-Regu" w:hAnsi="NimbusRomNo9L-Regu" w:cs="NimbusRomNo9L-Regu"/>
        </w:rPr>
        <w:t xml:space="preserve">, že </w:t>
      </w:r>
      <w:proofErr w:type="spellStart"/>
      <w:r w:rsidRPr="00813FE4">
        <w:rPr>
          <w:rFonts w:ascii="NimbusRomNo9L-Regu" w:hAnsi="NimbusRomNo9L-Regu" w:cs="NimbusRomNo9L-Regu"/>
        </w:rPr>
        <w:t>využijú</w:t>
      </w:r>
      <w:proofErr w:type="spellEnd"/>
      <w:r w:rsidRPr="00813FE4">
        <w:rPr>
          <w:rFonts w:ascii="NimbusRomNo9L-Regu" w:hAnsi="NimbusRomNo9L-Regu" w:cs="NimbusRomNo9L-Regu"/>
        </w:rPr>
        <w:t xml:space="preserve"> MHD 1 a </w:t>
      </w:r>
      <w:proofErr w:type="spellStart"/>
      <w:r w:rsidRPr="00813FE4">
        <w:rPr>
          <w:rFonts w:ascii="NimbusRomNo9L-Regu" w:hAnsi="NimbusRomNo9L-Regu" w:cs="NimbusRomNo9L-Regu"/>
        </w:rPr>
        <w:t>viac</w:t>
      </w:r>
      <w:proofErr w:type="spellEnd"/>
      <w:r w:rsidRPr="00813FE4">
        <w:rPr>
          <w:rFonts w:ascii="NimbusRomNo9L-Regu" w:hAnsi="NimbusRomNo9L-Regu" w:cs="NimbusRomNo9L-Regu"/>
        </w:rPr>
        <w:t xml:space="preserve"> krát za </w:t>
      </w:r>
      <w:proofErr w:type="spellStart"/>
      <w:r w:rsidRPr="00813FE4">
        <w:rPr>
          <w:rFonts w:ascii="NimbusRomNo9L-Regu" w:hAnsi="NimbusRomNo9L-Regu" w:cs="NimbusRomNo9L-Regu"/>
        </w:rPr>
        <w:t>týždeň</w:t>
      </w:r>
      <w:proofErr w:type="spellEnd"/>
      <w:r w:rsidRPr="00813FE4">
        <w:rPr>
          <w:rFonts w:ascii="NimbusRomNo9L-Regu" w:hAnsi="NimbusRomNo9L-Regu" w:cs="NimbusRomNo9L-Regu"/>
        </w:rPr>
        <w:t xml:space="preserve">. Výsledný údaj bol 37.2 \%, musíme však </w:t>
      </w:r>
      <w:proofErr w:type="spellStart"/>
      <w:r w:rsidRPr="00813FE4">
        <w:rPr>
          <w:rFonts w:ascii="NimbusRomNo9L-Regu" w:hAnsi="NimbusRomNo9L-Regu" w:cs="NimbusRomNo9L-Regu"/>
        </w:rPr>
        <w:t>brať</w:t>
      </w:r>
      <w:proofErr w:type="spellEnd"/>
      <w:r w:rsidRPr="00813FE4">
        <w:rPr>
          <w:rFonts w:ascii="NimbusRomNo9L-Regu" w:hAnsi="NimbusRomNo9L-Regu" w:cs="NimbusRomNo9L-Regu"/>
        </w:rPr>
        <w:t xml:space="preserve"> do úvahy, že tento údaj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vzťahuje</w:t>
      </w:r>
      <w:proofErr w:type="spellEnd"/>
      <w:r w:rsidRPr="00813FE4">
        <w:rPr>
          <w:rFonts w:ascii="NimbusRomNo9L-Regu" w:hAnsi="NimbusRomNo9L-Regu" w:cs="NimbusRomNo9L-Regu"/>
        </w:rPr>
        <w:t xml:space="preserve"> na </w:t>
      </w:r>
      <w:proofErr w:type="spellStart"/>
      <w:r w:rsidRPr="00813FE4">
        <w:rPr>
          <w:rFonts w:ascii="NimbusRomNo9L-Regu" w:hAnsi="NimbusRomNo9L-Regu" w:cs="NimbusRomNo9L-Regu"/>
        </w:rPr>
        <w:t>všetkých</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občanov</w:t>
      </w:r>
      <w:proofErr w:type="spellEnd"/>
      <w:r w:rsidRPr="00813FE4">
        <w:rPr>
          <w:rFonts w:ascii="NimbusRomNo9L-Regu" w:hAnsi="NimbusRomNo9L-Regu" w:cs="NimbusRomNo9L-Regu"/>
        </w:rPr>
        <w:t xml:space="preserve">, takže odhadujeme, že asi 25\% </w:t>
      </w:r>
      <w:proofErr w:type="spellStart"/>
      <w:r w:rsidRPr="00813FE4">
        <w:rPr>
          <w:rFonts w:ascii="NimbusRomNo9L-Regu" w:hAnsi="NimbusRomNo9L-Regu" w:cs="NimbusRomNo9L-Regu"/>
        </w:rPr>
        <w:t>ľudí</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čo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osobný</w:t>
      </w:r>
      <w:proofErr w:type="spellEnd"/>
      <w:r w:rsidRPr="00813FE4">
        <w:rPr>
          <w:rFonts w:ascii="NimbusRomNo9L-Regu" w:hAnsi="NimbusRomNo9L-Regu" w:cs="NimbusRomNo9L-Regu"/>
        </w:rPr>
        <w:t xml:space="preserve"> automobil </w:t>
      </w:r>
      <w:proofErr w:type="spellStart"/>
      <w:r w:rsidRPr="00813FE4">
        <w:rPr>
          <w:rFonts w:ascii="NimbusRomNo9L-Regu" w:hAnsi="NimbusRomNo9L-Regu" w:cs="NimbusRomNo9L-Regu"/>
        </w:rPr>
        <w:t>využívajú</w:t>
      </w:r>
      <w:proofErr w:type="spellEnd"/>
      <w:r w:rsidRPr="00813FE4">
        <w:rPr>
          <w:rFonts w:ascii="NimbusRomNo9L-Regu" w:hAnsi="NimbusRomNo9L-Regu" w:cs="NimbusRomNo9L-Regu"/>
        </w:rPr>
        <w:t xml:space="preserve"> MHD. Toto </w:t>
      </w:r>
      <w:proofErr w:type="spellStart"/>
      <w:r w:rsidRPr="00813FE4">
        <w:rPr>
          <w:rFonts w:ascii="NimbusRomNo9L-Regu" w:hAnsi="NimbusRomNo9L-Regu" w:cs="NimbusRomNo9L-Regu"/>
        </w:rPr>
        <w:t>percento</w:t>
      </w:r>
      <w:proofErr w:type="spellEnd"/>
      <w:r w:rsidRPr="00813FE4">
        <w:rPr>
          <w:rFonts w:ascii="NimbusRomNo9L-Regu" w:hAnsi="NimbusRomNo9L-Regu" w:cs="NimbusRomNo9L-Regu"/>
        </w:rPr>
        <w:t xml:space="preserve"> je použité </w:t>
      </w:r>
      <w:proofErr w:type="spellStart"/>
      <w:r w:rsidRPr="00813FE4">
        <w:rPr>
          <w:rFonts w:ascii="NimbusRomNo9L-Regu" w:hAnsi="NimbusRomNo9L-Regu" w:cs="NimbusRomNo9L-Regu"/>
        </w:rPr>
        <w:t>iba</w:t>
      </w:r>
      <w:proofErr w:type="spellEnd"/>
      <w:r w:rsidRPr="00813FE4">
        <w:rPr>
          <w:rFonts w:ascii="NimbusRomNo9L-Regu" w:hAnsi="NimbusRomNo9L-Regu" w:cs="NimbusRomNo9L-Regu"/>
        </w:rPr>
        <w:t xml:space="preserve"> na </w:t>
      </w:r>
      <w:proofErr w:type="spellStart"/>
      <w:r w:rsidRPr="00813FE4">
        <w:rPr>
          <w:rFonts w:ascii="NimbusRomNo9L-Regu" w:hAnsi="NimbusRomNo9L-Regu" w:cs="NimbusRomNo9L-Regu"/>
        </w:rPr>
        <w:t>verifikáciu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keďže</w:t>
      </w:r>
      <w:proofErr w:type="spellEnd"/>
      <w:r w:rsidRPr="00813FE4">
        <w:rPr>
          <w:rFonts w:ascii="NimbusRomNo9L-Regu" w:hAnsi="NimbusRomNo9L-Regu" w:cs="NimbusRomNo9L-Regu"/>
        </w:rPr>
        <w:t xml:space="preserve"> jeho hodnota je vstupným </w:t>
      </w:r>
      <w:proofErr w:type="spellStart"/>
      <w:r w:rsidRPr="00813FE4">
        <w:rPr>
          <w:rFonts w:ascii="NimbusRomNo9L-Regu" w:hAnsi="NimbusRomNo9L-Regu" w:cs="NimbusRomNo9L-Regu"/>
        </w:rPr>
        <w:t>parametrom</w:t>
      </w:r>
      <w:proofErr w:type="spellEnd"/>
      <w:r w:rsidRPr="00813FE4">
        <w:rPr>
          <w:rFonts w:ascii="NimbusRomNo9L-Regu" w:hAnsi="NimbusRomNo9L-Regu" w:cs="NimbusRomNo9L-Regu"/>
        </w:rPr>
        <w:t xml:space="preserve"> modelu, </w:t>
      </w:r>
      <w:proofErr w:type="spellStart"/>
      <w:r w:rsidRPr="00813FE4">
        <w:rPr>
          <w:rFonts w:ascii="NimbusRomNo9L-Regu" w:hAnsi="NimbusRomNo9L-Regu" w:cs="NimbusRomNo9L-Regu"/>
        </w:rPr>
        <w:t>pretože</w:t>
      </w:r>
      <w:proofErr w:type="spellEnd"/>
      <w:r w:rsidRPr="00813FE4">
        <w:rPr>
          <w:rFonts w:ascii="NimbusRomNo9L-Regu" w:hAnsi="NimbusRomNo9L-Regu" w:cs="NimbusRomNo9L-Regu"/>
        </w:rPr>
        <w:t xml:space="preserve"> chceme byť schopní </w:t>
      </w:r>
      <w:proofErr w:type="spellStart"/>
      <w:r w:rsidRPr="00813FE4">
        <w:rPr>
          <w:rFonts w:ascii="NimbusRomNo9L-Regu" w:hAnsi="NimbusRomNo9L-Regu" w:cs="NimbusRomNo9L-Regu"/>
        </w:rPr>
        <w:t>simulovať</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situáciu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kedy</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MHD stane </w:t>
      </w:r>
      <w:proofErr w:type="spellStart"/>
      <w:r w:rsidRPr="00813FE4">
        <w:rPr>
          <w:rFonts w:ascii="NimbusRomNo9L-Regu" w:hAnsi="NimbusRomNo9L-Regu" w:cs="NimbusRomNo9L-Regu"/>
        </w:rPr>
        <w:t>veľmi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žiadúca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napríklad</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rapídne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zníženie</w:t>
      </w:r>
      <w:proofErr w:type="spellEnd"/>
      <w:r w:rsidRPr="00813FE4">
        <w:rPr>
          <w:rFonts w:ascii="NimbusRomNo9L-Regu" w:hAnsi="NimbusRomNo9L-Regu" w:cs="NimbusRomNo9L-Regu"/>
        </w:rPr>
        <w:t xml:space="preserve"> ceny) a toto \%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bude </w:t>
      </w:r>
      <w:proofErr w:type="spellStart"/>
      <w:r w:rsidRPr="00813FE4">
        <w:rPr>
          <w:rFonts w:ascii="NimbusRomNo9L-Regu" w:hAnsi="NimbusRomNo9L-Regu" w:cs="NimbusRomNo9L-Regu"/>
        </w:rPr>
        <w:t>vtedy</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meniť</w:t>
      </w:r>
      <w:proofErr w:type="spellEnd"/>
      <w:r w:rsidRPr="00813FE4">
        <w:rPr>
          <w:rFonts w:ascii="NimbusRomNo9L-Regu" w:hAnsi="NimbusRomNo9L-Regu" w:cs="NimbusRomNo9L-Regu"/>
        </w:rPr>
        <w:t>.</w:t>
      </w:r>
      <w:r>
        <w:rPr>
          <w:rFonts w:ascii="NimbusRomNo9L-Regu" w:hAnsi="NimbusRomNo9L-Regu" w:cs="NimbusRomNo9L-Regu"/>
        </w:rPr>
        <w:t xml:space="preserve"> Dle </w:t>
      </w:r>
    </w:p>
    <w:p w14:paraId="00B99586" w14:textId="6AA9F391" w:rsidR="006F6192" w:rsidRDefault="006F6192" w:rsidP="00813FE4">
      <w:pPr>
        <w:autoSpaceDE w:val="0"/>
        <w:autoSpaceDN w:val="0"/>
        <w:adjustRightInd w:val="0"/>
        <w:spacing w:after="0" w:line="240" w:lineRule="auto"/>
        <w:rPr>
          <w:rFonts w:ascii="NimbusRomNo9L-Regu" w:hAnsi="NimbusRomNo9L-Regu" w:cs="NimbusRomNo9L-Regu"/>
        </w:rPr>
      </w:pPr>
    </w:p>
    <w:p w14:paraId="14F2033B" w14:textId="4507CE2D" w:rsidR="006F6192" w:rsidRDefault="006F6192" w:rsidP="006F6192">
      <w:pPr>
        <w:pStyle w:val="Nadpis1"/>
      </w:pPr>
      <w:r>
        <w:t>Popis experimentu a modelu</w:t>
      </w:r>
    </w:p>
    <w:p w14:paraId="774E0288" w14:textId="553A62AD" w:rsidR="006F6192" w:rsidRDefault="006F6192" w:rsidP="006F6192">
      <w:r>
        <w:tab/>
      </w:r>
      <w:r w:rsidRPr="006F6192">
        <w:t>Zdroj uvádí</w:t>
      </w:r>
      <w:r w:rsidR="00A67D08">
        <w:t xml:space="preserve"> ( </w:t>
      </w:r>
      <w:r w:rsidR="00A67D08" w:rsidRPr="00A67D08">
        <w:t>https://www.cdv.cz/file/clanek-produkce-emisi-co2-ch4-a-n2o-dopravou-v-cr/</w:t>
      </w:r>
      <w:r w:rsidR="00A67D08">
        <w:t xml:space="preserve"> )</w:t>
      </w:r>
      <w:r w:rsidRPr="006F6192">
        <w:t xml:space="preserve">,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r w:rsidR="00A67D08" w:rsidRPr="006F6192">
        <w:t>číslo,</w:t>
      </w:r>
      <w:r w:rsidRPr="006F6192">
        <w:t xml:space="preserve"> které vypovídá o znečistění jednoho obyvatele na den. Z výpočtu vyplývá, že každý obyvatel ČR zanechává uhlíkovou stopu rovnu 173,1 gramu. </w:t>
      </w:r>
    </w:p>
    <w:p w14:paraId="0499DD4B" w14:textId="1B1020C6" w:rsidR="006F6192" w:rsidRDefault="006F6192" w:rsidP="006F6192">
      <w:pPr>
        <w:ind w:firstLine="708"/>
      </w:pPr>
      <w:r w:rsidRPr="006F6192">
        <w:t xml:space="preserve">Průměrný počet zastávek autobusu: 28 zastávek, průměrná vzdálenost mezi zastávkami 550 metrů – vypočítáno na základě 10 linek MHD v Brně. Doba potřebná pro ujetí jednoho km: 97 sekund – </w:t>
      </w:r>
      <w:r>
        <w:t>p</w:t>
      </w:r>
      <w:r w:rsidRPr="006F6192">
        <w:t>růměrná rychlost ve větším městě: 37 km/h</w:t>
      </w:r>
      <w:r w:rsidR="00A67D08">
        <w:t xml:space="preserve"> (</w:t>
      </w:r>
      <w:r w:rsidR="00A67D08" w:rsidRPr="00A67D08">
        <w:t>https://www.idnes.cz/auto/zpravodajstvi/nejpomalejsi-je-londyn-praha-prumerna.A071029_132052_automoto_fdv</w:t>
      </w:r>
      <w:r w:rsidR="00A67D08">
        <w:t>)</w:t>
      </w:r>
      <w:r w:rsidRPr="006F6192">
        <w:t xml:space="preserve">. //TODO </w:t>
      </w:r>
      <w:proofErr w:type="spellStart"/>
      <w:r w:rsidRPr="006F6192">
        <w:t>for</w:t>
      </w:r>
      <w:proofErr w:type="spellEnd"/>
      <w:r w:rsidRPr="006F6192">
        <w:t xml:space="preserve"> </w:t>
      </w:r>
      <w:proofErr w:type="spellStart"/>
      <w:r w:rsidRPr="006F6192">
        <w:t>Sabule</w:t>
      </w:r>
      <w:proofErr w:type="spellEnd"/>
      <w:r w:rsidRPr="006F6192">
        <w:t xml:space="preserve"> ----- tady musíš přesně popsat jak se generují ti lidé, jak jdou na zastávku, to ze jdou 5 minut a </w:t>
      </w:r>
      <w:proofErr w:type="spellStart"/>
      <w:r w:rsidRPr="006F6192">
        <w:t>jeste</w:t>
      </w:r>
      <w:proofErr w:type="spellEnd"/>
      <w:r w:rsidRPr="006F6192">
        <w:t xml:space="preserve"> popsat jak se </w:t>
      </w:r>
      <w:proofErr w:type="spellStart"/>
      <w:r w:rsidRPr="006F6192">
        <w:t>pocita</w:t>
      </w:r>
      <w:proofErr w:type="spellEnd"/>
      <w:r w:rsidRPr="006F6192">
        <w:t xml:space="preserve"> to auto -----Časový údaj, kdy se má generovat autobus je dán číslem 79 200 vyděleným počtem autobusů, abychom docílili stavu, že se vygenerují vždy všechny autobusové okruhy s dostatečnou časovou rezervou. </w:t>
      </w:r>
    </w:p>
    <w:p w14:paraId="00194787" w14:textId="3EE62AFC" w:rsidR="006F6192" w:rsidRDefault="006F6192" w:rsidP="006F6192">
      <w:pPr>
        <w:ind w:firstLine="708"/>
      </w:pPr>
      <w:r w:rsidRPr="006F6192">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w:t>
      </w:r>
      <w:r w:rsidR="00A67D08">
        <w:t xml:space="preserve"> a rozptylem 100 sekund</w:t>
      </w:r>
      <w:r w:rsidRPr="006F6192">
        <w:t>. Autobus dojel na první zastávku a cestující nastupují. průměrný čas nastoupení jednoho cestujícího je dán normálním rozdělením se středem 2,5s</w:t>
      </w:r>
      <w:r w:rsidR="00A67D08">
        <w:t xml:space="preserve"> a rozptyl je roven 0,5 sekundy</w:t>
      </w:r>
      <w:r w:rsidRPr="006F6192">
        <w:t xml:space="preserve">. V modelu nastupuje jede pasažér po druhém. Model nereflektuje situaci, že reálný autobus má více dveří, proto je zmíněná hodnota nižší. </w:t>
      </w:r>
    </w:p>
    <w:p w14:paraId="5F3473AE" w14:textId="3BDA0C28" w:rsidR="006F6192" w:rsidRDefault="006F6192" w:rsidP="006F6192">
      <w:pPr>
        <w:ind w:firstLine="708"/>
      </w:pPr>
      <w:r w:rsidRPr="006F6192">
        <w:t>Po nastoupení a vystoupení všech cestujících se autobus rozjede na další zastávku. Doba jízdy je dána normálním rozdělením se středem 84 sekund</w:t>
      </w:r>
      <w:r w:rsidR="00A67D08">
        <w:t xml:space="preserve"> a rozptylem 10 sekund</w:t>
      </w:r>
      <w:r w:rsidRPr="006F6192">
        <w:t>. Autobus poté jezdí v cyklu mezi zastávkami. Na konečné zastávce jsou všichni cestující nuceni vystoupit a autobus jede zpět do depa</w:t>
      </w:r>
      <w:r w:rsidR="00A67D08">
        <w:t xml:space="preserve"> dle normálního rozdělení se střední hodnotou 500 sekund a rozptyl opět 100 sekund</w:t>
      </w:r>
      <w:r w:rsidRPr="006F6192">
        <w:t>. Dle ujeté vzdálenosti model počítá, kolik CO2 autobus/automobil vyprodukoval a číslo je přičteno k celkovému znečistění za den. Na konci simulace je vypsána statistika o celkovém znečistění.</w:t>
      </w:r>
    </w:p>
    <w:p w14:paraId="3CCBD387" w14:textId="551E43B8" w:rsidR="006F6192" w:rsidRDefault="006F6192" w:rsidP="006F6192"/>
    <w:p w14:paraId="0518DD2A" w14:textId="25E93647" w:rsidR="006F6192" w:rsidRDefault="006F6192" w:rsidP="006F6192"/>
    <w:p w14:paraId="7ED40719" w14:textId="27214AF6" w:rsidR="006F6192" w:rsidRDefault="006F6192" w:rsidP="006F6192"/>
    <w:p w14:paraId="43458307" w14:textId="77777777" w:rsidR="006F6192" w:rsidRDefault="006F6192" w:rsidP="006F6192"/>
    <w:p w14:paraId="0350DAE6" w14:textId="2FA9E8E4" w:rsidR="006F6192" w:rsidRDefault="006F6192" w:rsidP="006F6192">
      <w:pPr>
        <w:pStyle w:val="Nadpis2"/>
      </w:pPr>
      <w:r>
        <w:lastRenderedPageBreak/>
        <w:t>Experiment 1</w:t>
      </w:r>
    </w:p>
    <w:p w14:paraId="3960321B" w14:textId="536F38D4" w:rsidR="00261CCF" w:rsidRDefault="006F6192" w:rsidP="006F6192">
      <w:r>
        <w:tab/>
      </w:r>
      <w:r w:rsidRPr="006F6192">
        <w:t xml:space="preserve">Předpokládáme normální pracovní den. Dále bude cestovat celkem 250 000 lidí. Autobusů bude k dispozici celkem </w:t>
      </w:r>
      <w:r w:rsidR="00D526AB">
        <w:t>370</w:t>
      </w:r>
      <w:r w:rsidRPr="006F6192">
        <w:t xml:space="preserve"> a počet dostupných aut bude 60 000. Pravděpodobnost na použití MHD, pokud obyvatel vlastní automobil je 25 %.</w:t>
      </w:r>
    </w:p>
    <w:p w14:paraId="3A8DCB51" w14:textId="7BCD1D93" w:rsidR="00261CCF" w:rsidRDefault="00261CCF" w:rsidP="00D526AB"/>
    <w:tbl>
      <w:tblPr>
        <w:tblStyle w:val="Mkatabulky"/>
        <w:tblW w:w="0" w:type="auto"/>
        <w:jc w:val="center"/>
        <w:tblLook w:val="04A0" w:firstRow="1" w:lastRow="0" w:firstColumn="1" w:lastColumn="0" w:noHBand="0" w:noVBand="1"/>
      </w:tblPr>
      <w:tblGrid>
        <w:gridCol w:w="1604"/>
        <w:gridCol w:w="1604"/>
        <w:gridCol w:w="1604"/>
        <w:gridCol w:w="1604"/>
        <w:gridCol w:w="1606"/>
        <w:gridCol w:w="1606"/>
      </w:tblGrid>
      <w:tr w:rsidR="00261CCF" w14:paraId="685E5132" w14:textId="77777777" w:rsidTr="00D526AB">
        <w:trPr>
          <w:trHeight w:val="744"/>
          <w:jc w:val="center"/>
        </w:trPr>
        <w:tc>
          <w:tcPr>
            <w:tcW w:w="1604" w:type="dxa"/>
          </w:tcPr>
          <w:p w14:paraId="6076DCCE" w14:textId="16D18106" w:rsidR="00261CCF" w:rsidRDefault="00261CCF" w:rsidP="00D526AB">
            <w:r>
              <w:t>Cestující autobusem</w:t>
            </w:r>
          </w:p>
        </w:tc>
        <w:tc>
          <w:tcPr>
            <w:tcW w:w="1604" w:type="dxa"/>
          </w:tcPr>
          <w:p w14:paraId="4B01C4BE" w14:textId="476678B0" w:rsidR="00261CCF" w:rsidRDefault="00261CCF" w:rsidP="00D526AB">
            <w:r>
              <w:t>Cestující automobilem</w:t>
            </w:r>
          </w:p>
        </w:tc>
        <w:tc>
          <w:tcPr>
            <w:tcW w:w="1604" w:type="dxa"/>
          </w:tcPr>
          <w:p w14:paraId="1DE59B2C" w14:textId="6011A3D5" w:rsidR="00261CCF" w:rsidRDefault="00261CCF" w:rsidP="00D526AB">
            <w:r>
              <w:t>Emise autobusů</w:t>
            </w:r>
          </w:p>
        </w:tc>
        <w:tc>
          <w:tcPr>
            <w:tcW w:w="1604" w:type="dxa"/>
          </w:tcPr>
          <w:p w14:paraId="0C7E9AEA" w14:textId="627C27E6" w:rsidR="00261CCF" w:rsidRDefault="00261CCF" w:rsidP="00D526AB">
            <w:r>
              <w:t>Emise automobilů</w:t>
            </w:r>
          </w:p>
        </w:tc>
        <w:tc>
          <w:tcPr>
            <w:tcW w:w="1606" w:type="dxa"/>
          </w:tcPr>
          <w:p w14:paraId="7009B1C3" w14:textId="6E4837B1" w:rsidR="00261CCF" w:rsidRDefault="00261CCF" w:rsidP="00D526AB">
            <w:r>
              <w:t>Emise dle zdroje</w:t>
            </w:r>
          </w:p>
        </w:tc>
        <w:tc>
          <w:tcPr>
            <w:tcW w:w="1606" w:type="dxa"/>
          </w:tcPr>
          <w:p w14:paraId="3EF56CDE" w14:textId="233D06CB" w:rsidR="00261CCF" w:rsidRDefault="00261CCF" w:rsidP="00D526AB">
            <w:r>
              <w:t xml:space="preserve">Emise dle </w:t>
            </w:r>
            <w:r w:rsidR="00D526AB">
              <w:t>experimentu</w:t>
            </w:r>
          </w:p>
        </w:tc>
      </w:tr>
      <w:tr w:rsidR="00261CCF" w14:paraId="5DC8D43C" w14:textId="77777777" w:rsidTr="00D526AB">
        <w:trPr>
          <w:trHeight w:val="440"/>
          <w:jc w:val="center"/>
        </w:trPr>
        <w:tc>
          <w:tcPr>
            <w:tcW w:w="1604" w:type="dxa"/>
          </w:tcPr>
          <w:p w14:paraId="055DCF1F" w14:textId="7556F916" w:rsidR="00261CCF" w:rsidRDefault="00261CCF" w:rsidP="00D526AB">
            <w:pPr>
              <w:jc w:val="center"/>
            </w:pPr>
            <w:r>
              <w:t>205 214 osob</w:t>
            </w:r>
          </w:p>
        </w:tc>
        <w:tc>
          <w:tcPr>
            <w:tcW w:w="1604" w:type="dxa"/>
          </w:tcPr>
          <w:p w14:paraId="7ADF9793" w14:textId="4FE81354" w:rsidR="00261CCF" w:rsidRDefault="00261CCF" w:rsidP="00D526AB">
            <w:pPr>
              <w:jc w:val="center"/>
            </w:pPr>
            <w:r>
              <w:t>44 786 osob</w:t>
            </w:r>
          </w:p>
        </w:tc>
        <w:tc>
          <w:tcPr>
            <w:tcW w:w="1604" w:type="dxa"/>
          </w:tcPr>
          <w:p w14:paraId="6EC6CEE5" w14:textId="083858BE" w:rsidR="00261CCF" w:rsidRDefault="00261CCF" w:rsidP="00D526AB">
            <w:pPr>
              <w:jc w:val="center"/>
            </w:pPr>
            <w:r>
              <w:t>6 289 kg</w:t>
            </w:r>
          </w:p>
        </w:tc>
        <w:tc>
          <w:tcPr>
            <w:tcW w:w="1604" w:type="dxa"/>
          </w:tcPr>
          <w:p w14:paraId="5BFC27FE" w14:textId="15709CAB" w:rsidR="00261CCF" w:rsidRDefault="00261CCF" w:rsidP="00D526AB">
            <w:pPr>
              <w:jc w:val="center"/>
            </w:pPr>
            <w:r>
              <w:t>59 663 kg</w:t>
            </w:r>
          </w:p>
        </w:tc>
        <w:tc>
          <w:tcPr>
            <w:tcW w:w="1606" w:type="dxa"/>
          </w:tcPr>
          <w:p w14:paraId="73971E67" w14:textId="34F59383" w:rsidR="00261CCF" w:rsidRDefault="00261CCF" w:rsidP="00D526AB">
            <w:pPr>
              <w:jc w:val="center"/>
            </w:pPr>
            <w:r>
              <w:t>43 278 kg</w:t>
            </w:r>
          </w:p>
        </w:tc>
        <w:tc>
          <w:tcPr>
            <w:tcW w:w="1606" w:type="dxa"/>
          </w:tcPr>
          <w:p w14:paraId="07763B2D" w14:textId="551FF45B" w:rsidR="00261CCF" w:rsidRDefault="00261CCF" w:rsidP="00D526AB">
            <w:pPr>
              <w:jc w:val="center"/>
            </w:pPr>
            <w:r>
              <w:t>65 953 kg</w:t>
            </w:r>
          </w:p>
        </w:tc>
      </w:tr>
    </w:tbl>
    <w:p w14:paraId="78FBE468" w14:textId="7E45A601" w:rsidR="001C4030" w:rsidRDefault="001C4030" w:rsidP="001C4030">
      <w:pPr>
        <w:spacing w:before="240"/>
      </w:pPr>
      <w:r>
        <w:tab/>
        <w:t xml:space="preserve">V prvním experimentu se snažíme porovnat reálné hodnoty uvedené ve zdroji s hodnotami, které produkuje simulovaný model města. Emise dle modelu jsou o 52 % vyšší než skutečné emise. </w:t>
      </w:r>
    </w:p>
    <w:p w14:paraId="0193D46F" w14:textId="47C34552" w:rsidR="00261CCF" w:rsidRDefault="00261CCF" w:rsidP="00261CCF">
      <w:pPr>
        <w:pStyle w:val="Nadpis2"/>
      </w:pPr>
      <w:r>
        <w:t>Experiment 2</w:t>
      </w:r>
    </w:p>
    <w:p w14:paraId="1D81EBF1" w14:textId="3600255A" w:rsidR="00261CCF" w:rsidRDefault="00261CCF" w:rsidP="005C3CF5">
      <w:r>
        <w:tab/>
      </w:r>
      <w:r w:rsidRPr="00261CCF">
        <w:t>Provozovatel se rozhodl snížit cenu jízdného a zvýšil celkový počet autobusů na 500. Více lidí tedy využívá městskou hromadnou dopravu. Pravděpodobnost, že obyvatel použije na svoji cestu MHD místo automobilu je zvýšena z původních 25 % na 50 %.</w:t>
      </w:r>
      <w:r w:rsidR="00D526AB">
        <w:t xml:space="preserve">  Ostatní parametry zůstaly nezměněné.</w:t>
      </w:r>
    </w:p>
    <w:p w14:paraId="6C26410A" w14:textId="77777777" w:rsidR="005C3CF5" w:rsidRDefault="005C3CF5" w:rsidP="005C3CF5">
      <w:pPr>
        <w:jc w:val="center"/>
      </w:pPr>
    </w:p>
    <w:tbl>
      <w:tblPr>
        <w:tblStyle w:val="Mkatabulky"/>
        <w:tblW w:w="0" w:type="auto"/>
        <w:tblLook w:val="04A0" w:firstRow="1" w:lastRow="0" w:firstColumn="1" w:lastColumn="0" w:noHBand="0" w:noVBand="1"/>
      </w:tblPr>
      <w:tblGrid>
        <w:gridCol w:w="1599"/>
        <w:gridCol w:w="1599"/>
        <w:gridCol w:w="1599"/>
        <w:gridCol w:w="1599"/>
        <w:gridCol w:w="1600"/>
        <w:gridCol w:w="1600"/>
      </w:tblGrid>
      <w:tr w:rsidR="005C3CF5" w14:paraId="0BF1DD8A" w14:textId="77777777" w:rsidTr="00D526AB">
        <w:trPr>
          <w:trHeight w:val="669"/>
        </w:trPr>
        <w:tc>
          <w:tcPr>
            <w:tcW w:w="1599" w:type="dxa"/>
          </w:tcPr>
          <w:p w14:paraId="5FB9511D" w14:textId="129A18B8" w:rsidR="005C3CF5" w:rsidRDefault="005C3CF5" w:rsidP="005C3CF5">
            <w:r>
              <w:t>Autobus</w:t>
            </w:r>
          </w:p>
        </w:tc>
        <w:tc>
          <w:tcPr>
            <w:tcW w:w="1599" w:type="dxa"/>
          </w:tcPr>
          <w:p w14:paraId="6369ABA9" w14:textId="16EABD5A" w:rsidR="005C3CF5" w:rsidRDefault="005C3CF5" w:rsidP="005C3CF5">
            <w:r>
              <w:t>Automobil</w:t>
            </w:r>
          </w:p>
        </w:tc>
        <w:tc>
          <w:tcPr>
            <w:tcW w:w="1599" w:type="dxa"/>
          </w:tcPr>
          <w:p w14:paraId="67EB6256" w14:textId="0469A800" w:rsidR="005C3CF5" w:rsidRDefault="005C3CF5" w:rsidP="005C3CF5">
            <w:r>
              <w:t>Emise autobusů</w:t>
            </w:r>
          </w:p>
        </w:tc>
        <w:tc>
          <w:tcPr>
            <w:tcW w:w="1599" w:type="dxa"/>
          </w:tcPr>
          <w:p w14:paraId="4C286551" w14:textId="37088C62" w:rsidR="005C3CF5" w:rsidRDefault="005C3CF5" w:rsidP="005C3CF5">
            <w:r>
              <w:t>Emise automobilů</w:t>
            </w:r>
          </w:p>
        </w:tc>
        <w:tc>
          <w:tcPr>
            <w:tcW w:w="1600" w:type="dxa"/>
          </w:tcPr>
          <w:p w14:paraId="44C3B9BB" w14:textId="70EEA6D4" w:rsidR="005C3CF5" w:rsidRDefault="005C3CF5" w:rsidP="005C3CF5">
            <w:r>
              <w:t>Emise dle experimentu</w:t>
            </w:r>
          </w:p>
        </w:tc>
        <w:tc>
          <w:tcPr>
            <w:tcW w:w="1600" w:type="dxa"/>
          </w:tcPr>
          <w:p w14:paraId="23B90497" w14:textId="3EA5B8C6" w:rsidR="005C3CF5" w:rsidRDefault="005C3CF5" w:rsidP="005C3CF5">
            <w:r>
              <w:t xml:space="preserve">Původní emise dle </w:t>
            </w:r>
            <w:proofErr w:type="spellStart"/>
            <w:r>
              <w:t>exp</w:t>
            </w:r>
            <w:proofErr w:type="spellEnd"/>
            <w:r w:rsidR="00D526AB">
              <w:t>.</w:t>
            </w:r>
          </w:p>
        </w:tc>
      </w:tr>
      <w:tr w:rsidR="005C3CF5" w14:paraId="336C009E" w14:textId="77777777" w:rsidTr="00D526AB">
        <w:trPr>
          <w:trHeight w:val="395"/>
        </w:trPr>
        <w:tc>
          <w:tcPr>
            <w:tcW w:w="1599" w:type="dxa"/>
          </w:tcPr>
          <w:p w14:paraId="58CCB1F3" w14:textId="4B26026A" w:rsidR="005C3CF5" w:rsidRDefault="005C3CF5" w:rsidP="005C3CF5">
            <w:pPr>
              <w:jc w:val="center"/>
            </w:pPr>
            <w:r>
              <w:t>220 3</w:t>
            </w:r>
            <w:r w:rsidR="00D526AB">
              <w:t>53</w:t>
            </w:r>
            <w:r>
              <w:t xml:space="preserve"> osob</w:t>
            </w:r>
          </w:p>
        </w:tc>
        <w:tc>
          <w:tcPr>
            <w:tcW w:w="1599" w:type="dxa"/>
          </w:tcPr>
          <w:p w14:paraId="3FD3A7AC" w14:textId="712AB3F2" w:rsidR="005C3CF5" w:rsidRDefault="00D526AB" w:rsidP="005C3CF5">
            <w:pPr>
              <w:jc w:val="center"/>
            </w:pPr>
            <w:r w:rsidRPr="00D526AB">
              <w:t>29</w:t>
            </w:r>
            <w:r>
              <w:t xml:space="preserve"> </w:t>
            </w:r>
            <w:r w:rsidRPr="00D526AB">
              <w:t xml:space="preserve">647 </w:t>
            </w:r>
            <w:r w:rsidR="005C3CF5">
              <w:t>osob</w:t>
            </w:r>
          </w:p>
        </w:tc>
        <w:tc>
          <w:tcPr>
            <w:tcW w:w="1599" w:type="dxa"/>
          </w:tcPr>
          <w:p w14:paraId="35D436A5" w14:textId="1A2DF7EE" w:rsidR="005C3CF5" w:rsidRDefault="005C3CF5" w:rsidP="005C3CF5">
            <w:pPr>
              <w:jc w:val="center"/>
            </w:pPr>
            <w:r>
              <w:t>7 827 kg</w:t>
            </w:r>
          </w:p>
        </w:tc>
        <w:tc>
          <w:tcPr>
            <w:tcW w:w="1599" w:type="dxa"/>
          </w:tcPr>
          <w:p w14:paraId="29412485" w14:textId="21F152C4" w:rsidR="005C3CF5" w:rsidRDefault="005C3CF5" w:rsidP="005C3CF5">
            <w:pPr>
              <w:jc w:val="center"/>
            </w:pPr>
            <w:r>
              <w:t>39 559 kg</w:t>
            </w:r>
          </w:p>
        </w:tc>
        <w:tc>
          <w:tcPr>
            <w:tcW w:w="1600" w:type="dxa"/>
          </w:tcPr>
          <w:p w14:paraId="4322CE38" w14:textId="3E77FB93" w:rsidR="005C3CF5" w:rsidRDefault="005C3CF5" w:rsidP="005C3CF5">
            <w:pPr>
              <w:jc w:val="center"/>
            </w:pPr>
            <w:r>
              <w:t>47 387 kg</w:t>
            </w:r>
          </w:p>
        </w:tc>
        <w:tc>
          <w:tcPr>
            <w:tcW w:w="1600" w:type="dxa"/>
          </w:tcPr>
          <w:p w14:paraId="294E1442" w14:textId="0D5CC687" w:rsidR="005C3CF5" w:rsidRDefault="005C3CF5" w:rsidP="005C3CF5">
            <w:pPr>
              <w:jc w:val="center"/>
            </w:pPr>
            <w:r>
              <w:t>65 953 kg</w:t>
            </w:r>
          </w:p>
        </w:tc>
      </w:tr>
    </w:tbl>
    <w:p w14:paraId="0119EBE5" w14:textId="3CB2F687" w:rsidR="005C3CF5" w:rsidRDefault="005C3CF5" w:rsidP="005C3CF5"/>
    <w:p w14:paraId="71B088D7" w14:textId="0FF6DC39" w:rsidR="005C3CF5" w:rsidRDefault="005C3CF5" w:rsidP="001C4030">
      <w:pPr>
        <w:ind w:firstLine="708"/>
      </w:pPr>
      <w:r>
        <w:t xml:space="preserve">Z experimentu je zřejmé, že emise v porovnání s prvním experimentem klesly o necelých 29 %. </w:t>
      </w:r>
    </w:p>
    <w:p w14:paraId="2B085173" w14:textId="72D77970" w:rsidR="005C3CF5" w:rsidRDefault="005C3CF5" w:rsidP="005C3CF5">
      <w:pPr>
        <w:pStyle w:val="Nadpis2"/>
      </w:pPr>
      <w:r>
        <w:t>Experiment 3</w:t>
      </w:r>
    </w:p>
    <w:p w14:paraId="4F5AB9D8" w14:textId="2094005E" w:rsidR="005C3CF5" w:rsidRDefault="005C3CF5" w:rsidP="005C3CF5">
      <w:r>
        <w:tab/>
      </w:r>
      <w:r w:rsidRPr="005C3CF5">
        <w:t>Nastala extrémní situace. Vyhláška města zakazuje vjezd osobních vozidel do města. Všichni obyvatelé jsou tedy nuceni využít MHD. Dopravce zvýšil počet autobusů na 800</w:t>
      </w:r>
      <w:r w:rsidR="00D526AB">
        <w:t xml:space="preserve">, aby zvládl větší nápor na autobusových zastávkách. </w:t>
      </w:r>
    </w:p>
    <w:p w14:paraId="32D4D21D" w14:textId="77777777" w:rsidR="00D526AB" w:rsidRPr="005C3CF5" w:rsidRDefault="00D526AB" w:rsidP="005C3CF5"/>
    <w:tbl>
      <w:tblPr>
        <w:tblStyle w:val="Mkatabulky"/>
        <w:tblW w:w="9652" w:type="dxa"/>
        <w:tblLook w:val="04A0" w:firstRow="1" w:lastRow="0" w:firstColumn="1" w:lastColumn="0" w:noHBand="0" w:noVBand="1"/>
      </w:tblPr>
      <w:tblGrid>
        <w:gridCol w:w="1608"/>
        <w:gridCol w:w="1608"/>
        <w:gridCol w:w="1609"/>
        <w:gridCol w:w="1609"/>
        <w:gridCol w:w="1609"/>
        <w:gridCol w:w="1609"/>
      </w:tblGrid>
      <w:tr w:rsidR="00D526AB" w14:paraId="764041EA" w14:textId="77777777" w:rsidTr="00D526AB">
        <w:trPr>
          <w:trHeight w:val="768"/>
        </w:trPr>
        <w:tc>
          <w:tcPr>
            <w:tcW w:w="1608" w:type="dxa"/>
          </w:tcPr>
          <w:p w14:paraId="5A457984" w14:textId="730A1D5E"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Autobus</w:t>
            </w:r>
          </w:p>
        </w:tc>
        <w:tc>
          <w:tcPr>
            <w:tcW w:w="1608" w:type="dxa"/>
          </w:tcPr>
          <w:p w14:paraId="3653B3A4" w14:textId="0E6104A4"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Automobil</w:t>
            </w:r>
          </w:p>
        </w:tc>
        <w:tc>
          <w:tcPr>
            <w:tcW w:w="1609" w:type="dxa"/>
          </w:tcPr>
          <w:p w14:paraId="441F69A1" w14:textId="6FB45E7B"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autobusů</w:t>
            </w:r>
          </w:p>
        </w:tc>
        <w:tc>
          <w:tcPr>
            <w:tcW w:w="1609" w:type="dxa"/>
          </w:tcPr>
          <w:p w14:paraId="0424112B" w14:textId="755B8199"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automobilů</w:t>
            </w:r>
          </w:p>
        </w:tc>
        <w:tc>
          <w:tcPr>
            <w:tcW w:w="1609" w:type="dxa"/>
          </w:tcPr>
          <w:p w14:paraId="76B363A1" w14:textId="301CD225"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Emise dle experimentu</w:t>
            </w:r>
          </w:p>
        </w:tc>
        <w:tc>
          <w:tcPr>
            <w:tcW w:w="1609" w:type="dxa"/>
          </w:tcPr>
          <w:p w14:paraId="5B01FC7E" w14:textId="7E0D0478"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 xml:space="preserve">Původní emise dle </w:t>
            </w:r>
            <w:proofErr w:type="spellStart"/>
            <w:r w:rsidRPr="00D526AB">
              <w:rPr>
                <w:rFonts w:asciiTheme="minorHAnsi" w:hAnsiTheme="minorHAnsi" w:cstheme="minorHAnsi"/>
                <w:sz w:val="22"/>
                <w:szCs w:val="22"/>
              </w:rPr>
              <w:t>exp</w:t>
            </w:r>
            <w:proofErr w:type="spellEnd"/>
          </w:p>
        </w:tc>
      </w:tr>
      <w:tr w:rsidR="00D526AB" w14:paraId="1EF4AFF2" w14:textId="77777777" w:rsidTr="00D526AB">
        <w:trPr>
          <w:trHeight w:val="393"/>
        </w:trPr>
        <w:tc>
          <w:tcPr>
            <w:tcW w:w="1608" w:type="dxa"/>
          </w:tcPr>
          <w:p w14:paraId="1A2DAD8A" w14:textId="6E7BCD75"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250 000 osob</w:t>
            </w:r>
          </w:p>
        </w:tc>
        <w:tc>
          <w:tcPr>
            <w:tcW w:w="1608" w:type="dxa"/>
          </w:tcPr>
          <w:p w14:paraId="6567409A" w14:textId="374FF4C9"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osob</w:t>
            </w:r>
          </w:p>
        </w:tc>
        <w:tc>
          <w:tcPr>
            <w:tcW w:w="1609" w:type="dxa"/>
          </w:tcPr>
          <w:p w14:paraId="452639FF" w14:textId="6794A4D3"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668BD49C" w14:textId="358A3EEB"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kg</w:t>
            </w:r>
          </w:p>
        </w:tc>
        <w:tc>
          <w:tcPr>
            <w:tcW w:w="1609" w:type="dxa"/>
          </w:tcPr>
          <w:p w14:paraId="1D6850DF" w14:textId="54154CFA"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45F33994" w14:textId="4CA240F2"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65 953 kg</w:t>
            </w:r>
          </w:p>
        </w:tc>
      </w:tr>
    </w:tbl>
    <w:p w14:paraId="3C88FA1C" w14:textId="13B55C34" w:rsidR="005C3CF5" w:rsidRDefault="005C3CF5" w:rsidP="00D526AB">
      <w:pPr>
        <w:pStyle w:val="Nadpis2"/>
        <w:rPr>
          <w:rFonts w:asciiTheme="minorHAnsi" w:hAnsiTheme="minorHAnsi" w:cstheme="minorHAnsi"/>
          <w:sz w:val="22"/>
          <w:szCs w:val="22"/>
        </w:rPr>
      </w:pPr>
    </w:p>
    <w:p w14:paraId="2F9EF72E" w14:textId="6B61BD0E" w:rsidR="00D526AB" w:rsidRDefault="00D526AB" w:rsidP="00D526AB">
      <w:r>
        <w:tab/>
        <w:t xml:space="preserve">Dle výsledku experimentu s velmi nepravděpodobnou situací, že místní vyhláška zakázala jízdu automobilů ve městě jsme docílili snížení emisí o necelých 80 %. </w:t>
      </w:r>
    </w:p>
    <w:p w14:paraId="37162E2B" w14:textId="68F5EF1A" w:rsidR="00D526AB" w:rsidRDefault="00D526AB" w:rsidP="00D526AB"/>
    <w:p w14:paraId="3DE29D39" w14:textId="39B6794F" w:rsidR="00D526AB" w:rsidRDefault="00D526AB" w:rsidP="00D526AB"/>
    <w:p w14:paraId="2858B13B" w14:textId="6D93DCA1" w:rsidR="00D526AB" w:rsidRDefault="00D526AB" w:rsidP="00D526AB"/>
    <w:p w14:paraId="5C83EF2B" w14:textId="77777777" w:rsidR="00D526AB" w:rsidRDefault="00D526AB" w:rsidP="00D526AB"/>
    <w:p w14:paraId="5773CAC5" w14:textId="2A914C71" w:rsidR="00D526AB" w:rsidRDefault="00D526AB" w:rsidP="00D526AB">
      <w:pPr>
        <w:pStyle w:val="Nadpis2"/>
      </w:pPr>
      <w:r>
        <w:lastRenderedPageBreak/>
        <w:t>Experiment 4</w:t>
      </w:r>
    </w:p>
    <w:p w14:paraId="232E4D97" w14:textId="4F9F8ADB" w:rsidR="00D526AB" w:rsidRDefault="00D526AB" w:rsidP="00D526AB">
      <w:r>
        <w:tab/>
      </w:r>
      <w:r w:rsidRPr="00D526AB">
        <w:t xml:space="preserve">Ekonomické výsledky dopravce </w:t>
      </w:r>
      <w:r w:rsidR="001C4030">
        <w:t>jsou znepokojující</w:t>
      </w:r>
      <w:r w:rsidRPr="00D526AB">
        <w:t>, proto se rozhod</w:t>
      </w:r>
      <w:r w:rsidR="001C4030">
        <w:t>l</w:t>
      </w:r>
      <w:r w:rsidRPr="00D526AB">
        <w:t xml:space="preserve"> dramaticky zvýšit cenu jízdného. Pro některé obyvatele se to stává nepřijatelné</w:t>
      </w:r>
      <w:r w:rsidR="00C53DF5">
        <w:t>. Tudíž</w:t>
      </w:r>
      <w:r w:rsidRPr="00D526AB">
        <w:t xml:space="preserve">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tblLook w:val="04A0" w:firstRow="1" w:lastRow="0" w:firstColumn="1" w:lastColumn="0" w:noHBand="0" w:noVBand="1"/>
      </w:tblPr>
      <w:tblGrid>
        <w:gridCol w:w="1633"/>
        <w:gridCol w:w="1633"/>
        <w:gridCol w:w="1634"/>
        <w:gridCol w:w="1634"/>
        <w:gridCol w:w="1634"/>
        <w:gridCol w:w="1634"/>
      </w:tblGrid>
      <w:tr w:rsidR="00D526AB" w14:paraId="1A7B7224" w14:textId="77777777" w:rsidTr="00D17F51">
        <w:trPr>
          <w:trHeight w:val="827"/>
        </w:trPr>
        <w:tc>
          <w:tcPr>
            <w:tcW w:w="1633" w:type="dxa"/>
          </w:tcPr>
          <w:p w14:paraId="77C70CC5" w14:textId="5FBCBE48" w:rsidR="00D526AB" w:rsidRDefault="00D526AB" w:rsidP="00D526AB">
            <w:r>
              <w:rPr>
                <w:rFonts w:cstheme="minorHAnsi"/>
              </w:rPr>
              <w:t>Autobus</w:t>
            </w:r>
          </w:p>
        </w:tc>
        <w:tc>
          <w:tcPr>
            <w:tcW w:w="1633" w:type="dxa"/>
          </w:tcPr>
          <w:p w14:paraId="2A41E12C" w14:textId="66DCBBE7" w:rsidR="00D526AB" w:rsidRDefault="00D526AB" w:rsidP="00D526AB">
            <w:r>
              <w:rPr>
                <w:rFonts w:cstheme="minorHAnsi"/>
              </w:rPr>
              <w:t>Automobil</w:t>
            </w:r>
          </w:p>
        </w:tc>
        <w:tc>
          <w:tcPr>
            <w:tcW w:w="1634" w:type="dxa"/>
          </w:tcPr>
          <w:p w14:paraId="3C681559" w14:textId="3D216E66" w:rsidR="00D526AB" w:rsidRDefault="00D526AB" w:rsidP="00D526AB">
            <w:r>
              <w:rPr>
                <w:rFonts w:cstheme="minorHAnsi"/>
              </w:rPr>
              <w:t>Emise autobusů</w:t>
            </w:r>
          </w:p>
        </w:tc>
        <w:tc>
          <w:tcPr>
            <w:tcW w:w="1634" w:type="dxa"/>
          </w:tcPr>
          <w:p w14:paraId="0007D24D" w14:textId="469524F5" w:rsidR="00D526AB" w:rsidRDefault="00D526AB" w:rsidP="00D526AB">
            <w:r>
              <w:rPr>
                <w:rFonts w:cstheme="minorHAnsi"/>
              </w:rPr>
              <w:t>Emise automobilů</w:t>
            </w:r>
          </w:p>
        </w:tc>
        <w:tc>
          <w:tcPr>
            <w:tcW w:w="1634" w:type="dxa"/>
          </w:tcPr>
          <w:p w14:paraId="471B74B7" w14:textId="62B7A60A" w:rsidR="00D526AB" w:rsidRDefault="00D526AB" w:rsidP="00D526AB">
            <w:r w:rsidRPr="00D526AB">
              <w:rPr>
                <w:rFonts w:cstheme="minorHAnsi"/>
              </w:rPr>
              <w:t>Emise dle experimentu</w:t>
            </w:r>
          </w:p>
        </w:tc>
        <w:tc>
          <w:tcPr>
            <w:tcW w:w="1634" w:type="dxa"/>
          </w:tcPr>
          <w:p w14:paraId="035978C9" w14:textId="3A69C212" w:rsidR="00D526AB" w:rsidRDefault="00D526AB" w:rsidP="00D526AB">
            <w:r w:rsidRPr="00D526AB">
              <w:rPr>
                <w:rFonts w:cstheme="minorHAnsi"/>
              </w:rPr>
              <w:t xml:space="preserve">Původní emise dle </w:t>
            </w:r>
            <w:proofErr w:type="spellStart"/>
            <w:r w:rsidRPr="00D526AB">
              <w:rPr>
                <w:rFonts w:cstheme="minorHAnsi"/>
              </w:rPr>
              <w:t>exp</w:t>
            </w:r>
            <w:proofErr w:type="spellEnd"/>
          </w:p>
        </w:tc>
      </w:tr>
      <w:tr w:rsidR="00D526AB" w14:paraId="1AAC17FC" w14:textId="77777777" w:rsidTr="00D17F51">
        <w:trPr>
          <w:trHeight w:val="488"/>
        </w:trPr>
        <w:tc>
          <w:tcPr>
            <w:tcW w:w="1633" w:type="dxa"/>
          </w:tcPr>
          <w:p w14:paraId="0CD68E9F" w14:textId="7D61F9F0" w:rsidR="00D526AB" w:rsidRDefault="00D17F51" w:rsidP="00D17F51">
            <w:pPr>
              <w:jc w:val="center"/>
            </w:pPr>
            <w:r w:rsidRPr="00D17F51">
              <w:t>175 416 osob</w:t>
            </w:r>
          </w:p>
        </w:tc>
        <w:tc>
          <w:tcPr>
            <w:tcW w:w="1633" w:type="dxa"/>
          </w:tcPr>
          <w:p w14:paraId="1E2A1E70" w14:textId="32BE75D5" w:rsidR="00D526AB" w:rsidRDefault="00D17F51" w:rsidP="00D17F51">
            <w:pPr>
              <w:jc w:val="center"/>
            </w:pPr>
            <w:r w:rsidRPr="00D17F51">
              <w:t>74 584 osob</w:t>
            </w:r>
          </w:p>
        </w:tc>
        <w:tc>
          <w:tcPr>
            <w:tcW w:w="1634" w:type="dxa"/>
          </w:tcPr>
          <w:p w14:paraId="50DE7CC3" w14:textId="5CA4797B" w:rsidR="00D526AB" w:rsidRDefault="00D17F51" w:rsidP="00D17F51">
            <w:pPr>
              <w:jc w:val="center"/>
            </w:pPr>
            <w:r>
              <w:t>5 855 kg</w:t>
            </w:r>
          </w:p>
        </w:tc>
        <w:tc>
          <w:tcPr>
            <w:tcW w:w="1634" w:type="dxa"/>
          </w:tcPr>
          <w:p w14:paraId="02652906" w14:textId="772DC9CE" w:rsidR="00D526AB" w:rsidRDefault="00D17F51" w:rsidP="00D17F51">
            <w:pPr>
              <w:jc w:val="center"/>
            </w:pPr>
            <w:r>
              <w:t>99 259 kg</w:t>
            </w:r>
          </w:p>
        </w:tc>
        <w:tc>
          <w:tcPr>
            <w:tcW w:w="1634" w:type="dxa"/>
          </w:tcPr>
          <w:p w14:paraId="7DE37908" w14:textId="22647FD2" w:rsidR="00D526AB" w:rsidRDefault="00D17F51" w:rsidP="00D17F51">
            <w:pPr>
              <w:jc w:val="center"/>
            </w:pPr>
            <w:r w:rsidRPr="00D17F51">
              <w:t>105 114 kg</w:t>
            </w:r>
          </w:p>
        </w:tc>
        <w:tc>
          <w:tcPr>
            <w:tcW w:w="1634" w:type="dxa"/>
          </w:tcPr>
          <w:p w14:paraId="1AA72E68" w14:textId="1D912C54" w:rsidR="00D526AB" w:rsidRDefault="00D17F51" w:rsidP="00D17F51">
            <w:pPr>
              <w:jc w:val="center"/>
            </w:pPr>
            <w:r w:rsidRPr="00D526AB">
              <w:rPr>
                <w:rFonts w:cstheme="minorHAnsi"/>
              </w:rPr>
              <w:t>65 953 kg</w:t>
            </w:r>
          </w:p>
        </w:tc>
      </w:tr>
    </w:tbl>
    <w:p w14:paraId="2556319D" w14:textId="30F7668D" w:rsidR="00D526AB" w:rsidRDefault="00D526AB" w:rsidP="00D526AB"/>
    <w:p w14:paraId="1E2601B9" w14:textId="528F72DC" w:rsidR="00E025B4" w:rsidRDefault="00E025B4" w:rsidP="00D526AB">
      <w:r>
        <w:tab/>
        <w:t xml:space="preserve">Experiment ukazuje poměrně znepokojivé hodnoty emisí, </w:t>
      </w:r>
      <w:r w:rsidR="007163B6">
        <w:t>jež</w:t>
      </w:r>
      <w:r>
        <w:t xml:space="preserve"> oproti prvnímu experimentu vzrostly téměř o 60 %, což je poměrně alarmující. </w:t>
      </w:r>
    </w:p>
    <w:p w14:paraId="64363E62" w14:textId="2497A885" w:rsidR="00AD3F24" w:rsidRDefault="00AD3F24" w:rsidP="00AD3F24">
      <w:pPr>
        <w:pStyle w:val="Nadpis1"/>
      </w:pPr>
      <w:r>
        <w:t>Závěr</w:t>
      </w:r>
    </w:p>
    <w:p w14:paraId="6928B148" w14:textId="63F36C31" w:rsidR="00AD3F24" w:rsidRDefault="00AD3F24" w:rsidP="00AD3F24">
      <w: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w:t>
      </w:r>
      <w:r w:rsidR="0064763B">
        <w:t xml:space="preserve">nejmenší znečistění nastane, </w:t>
      </w:r>
      <w:r>
        <w:t>pokud všichni lidé</w:t>
      </w:r>
      <w:r w:rsidR="0064763B">
        <w:t xml:space="preserve"> budou cestovat</w:t>
      </w:r>
      <w:r>
        <w:t xml:space="preserve"> MHD. </w:t>
      </w:r>
    </w:p>
    <w:p w14:paraId="0C8A79B5" w14:textId="376BC96E" w:rsidR="0064763B" w:rsidRDefault="0064763B" w:rsidP="00AD3F24"/>
    <w:p w14:paraId="3D1B4F09" w14:textId="5BB3F073" w:rsidR="0064763B" w:rsidRDefault="0064763B" w:rsidP="00AD3F24"/>
    <w:p w14:paraId="211C4000" w14:textId="53CFF9C5" w:rsidR="0064763B" w:rsidRDefault="0064763B" w:rsidP="00AD3F24"/>
    <w:p w14:paraId="6CADD620" w14:textId="4BDA5988" w:rsidR="0064763B" w:rsidRDefault="0064763B" w:rsidP="00AD3F24">
      <w:r>
        <w:tab/>
      </w:r>
      <w:r>
        <w:tab/>
      </w:r>
      <w:r>
        <w:tab/>
      </w:r>
      <w:r>
        <w:tab/>
      </w:r>
      <w:r>
        <w:tab/>
      </w:r>
      <w:r>
        <w:tab/>
      </w:r>
      <w:r>
        <w:tab/>
      </w:r>
      <w:r>
        <w:tab/>
      </w:r>
      <w:r>
        <w:tab/>
      </w:r>
      <w:r>
        <w:tab/>
      </w:r>
      <w:r>
        <w:tab/>
        <w:t xml:space="preserve">Sabína </w:t>
      </w:r>
      <w:proofErr w:type="spellStart"/>
      <w:r>
        <w:t>Gregušová</w:t>
      </w:r>
      <w:proofErr w:type="spellEnd"/>
    </w:p>
    <w:p w14:paraId="12A98529" w14:textId="670DBE42" w:rsidR="0064763B" w:rsidRPr="00D526AB" w:rsidRDefault="0064763B" w:rsidP="00AD3F24">
      <w:r>
        <w:tab/>
      </w:r>
      <w:r>
        <w:tab/>
      </w:r>
      <w:r>
        <w:tab/>
      </w:r>
      <w:r>
        <w:tab/>
      </w:r>
      <w:r>
        <w:tab/>
      </w:r>
      <w:r>
        <w:tab/>
      </w:r>
      <w:r>
        <w:tab/>
      </w:r>
      <w:r>
        <w:tab/>
      </w:r>
      <w:r>
        <w:tab/>
      </w:r>
      <w:r>
        <w:tab/>
      </w:r>
      <w:r>
        <w:tab/>
        <w:t xml:space="preserve">     Filip </w:t>
      </w:r>
      <w:proofErr w:type="spellStart"/>
      <w:r>
        <w:t>Weigel</w:t>
      </w:r>
      <w:bookmarkStart w:id="5" w:name="_GoBack"/>
      <w:bookmarkEnd w:id="5"/>
      <w:proofErr w:type="spellEnd"/>
    </w:p>
    <w:sectPr w:rsidR="0064763B" w:rsidRPr="00D526AB" w:rsidSect="005C3CF5">
      <w:pgSz w:w="11906" w:h="16838"/>
      <w:pgMar w:top="1418" w:right="1134" w:bottom="1418" w:left="1134"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1" w:author="" w:date="2019-11-30T18:24:00Z" w:initials="">
    <w:p w14:paraId="10528154" w14:textId="77777777" w:rsidR="00F115AC" w:rsidRDefault="009459E8">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 w:id="2" w:author="" w:date="2019-12-01T11:57:00Z" w:initials="">
    <w:p w14:paraId="48383993" w14:textId="77777777" w:rsidR="00F115AC" w:rsidRDefault="009459E8">
      <w:r>
        <w:t>&lt;!--</w:t>
      </w:r>
      <w:proofErr w:type="spellStart"/>
      <w:r>
        <w:t>StartFragment</w:t>
      </w:r>
      <w:proofErr w:type="spellEnd"/>
      <w:r>
        <w:t>--&gt;</w:t>
      </w:r>
    </w:p>
  </w:comment>
  <w:comment w:id="3" w:author="" w:date="2019-12-01T11:57:00Z" w:initials="">
    <w:p w14:paraId="30058FE0" w14:textId="77777777" w:rsidR="00F115AC" w:rsidRDefault="009459E8">
      <w:r>
        <w:t>&lt;!--</w:t>
      </w:r>
      <w:proofErr w:type="spellStart"/>
      <w:r>
        <w:t>EndFragment</w:t>
      </w:r>
      <w:proofErr w:type="spellEnd"/>
      <w:r>
        <w:t>--&gt;</w:t>
      </w:r>
    </w:p>
  </w:comment>
  <w:comment w:id="4" w:author="" w:date="2019-11-30T18:24:00Z" w:initials="">
    <w:p w14:paraId="606D4530" w14:textId="77777777" w:rsidR="00F115AC" w:rsidRDefault="009459E8">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1C4030"/>
    <w:rsid w:val="00261CCF"/>
    <w:rsid w:val="003A6F42"/>
    <w:rsid w:val="00486EC3"/>
    <w:rsid w:val="005C3CF5"/>
    <w:rsid w:val="0064763B"/>
    <w:rsid w:val="006F6192"/>
    <w:rsid w:val="007163B6"/>
    <w:rsid w:val="00813FE4"/>
    <w:rsid w:val="009459E8"/>
    <w:rsid w:val="00951D73"/>
    <w:rsid w:val="00A67D08"/>
    <w:rsid w:val="00AD3F24"/>
    <w:rsid w:val="00C53DF5"/>
    <w:rsid w:val="00D17F51"/>
    <w:rsid w:val="00D526AB"/>
    <w:rsid w:val="00E025B4"/>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 w:type="table" w:styleId="Mkatabulky">
    <w:name w:val="Table Grid"/>
    <w:basedOn w:val="Normlntabulka"/>
    <w:uiPriority w:val="39"/>
    <w:rsid w:val="0026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261C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mezer">
    <w:name w:val="No Spacing"/>
    <w:uiPriority w:val="1"/>
    <w:qFormat/>
    <w:rsid w:val="00AD3F2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FCB4-AF69-435F-A40F-2039DF01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1544</Words>
  <Characters>9115</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15</cp:revision>
  <dcterms:created xsi:type="dcterms:W3CDTF">2019-11-30T13:33:00Z</dcterms:created>
  <dcterms:modified xsi:type="dcterms:W3CDTF">2019-12-07T16:47:00Z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