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EC3C" w14:textId="77777777" w:rsidR="009D52AA" w:rsidRDefault="00000000">
      <w:pPr>
        <w:pStyle w:val="Heading1"/>
      </w:pPr>
      <w:bookmarkStart w:id="0" w:name="X88b25d1fd835e63c8911166f719cea0455b3995"/>
      <w:r>
        <w:t>COMPREHENSIVE LEGAL ANALYSIS AND EVIDENCE SUMMARY</w:t>
      </w:r>
    </w:p>
    <w:p w14:paraId="5962701E" w14:textId="77777777" w:rsidR="009D52AA" w:rsidRDefault="00000000">
      <w:r>
        <w:rPr>
          <w:b/>
          <w:bCs/>
        </w:rPr>
        <w:t>To:</w:t>
      </w:r>
      <w:r>
        <w:t xml:space="preserve"> Held Legal Team</w:t>
      </w:r>
      <w:r>
        <w:br/>
      </w:r>
      <w:r>
        <w:rPr>
          <w:b/>
          <w:bCs/>
        </w:rPr>
        <w:t>From:</w:t>
      </w:r>
      <w:r>
        <w:t xml:space="preserve"> Cetient Legal Research AI</w:t>
      </w:r>
      <w:r>
        <w:br/>
      </w:r>
      <w:r>
        <w:rPr>
          <w:b/>
          <w:bCs/>
        </w:rPr>
        <w:t>Date:</w:t>
      </w:r>
      <w:r>
        <w:t xml:space="preserve"> May 3, 2026</w:t>
      </w:r>
      <w:r>
        <w:br/>
      </w:r>
      <w:r>
        <w:rPr>
          <w:b/>
          <w:bCs/>
        </w:rPr>
        <w:t>Re:</w:t>
      </w:r>
      <w:r>
        <w:t xml:space="preserve"> Held v. Rudolph, et al. – Analysis of Fair Housing Violations, Tortious Interference, and Attorney Misconduct</w:t>
      </w:r>
      <w:r>
        <w:br/>
      </w:r>
      <w:r>
        <w:rPr>
          <w:b/>
          <w:bCs/>
        </w:rPr>
        <w:t>Version:</w:t>
      </w:r>
      <w:r>
        <w:t xml:space="preserve"> 4.0</w:t>
      </w:r>
    </w:p>
    <w:p w14:paraId="30742330" w14:textId="77777777" w:rsidR="009D52AA" w:rsidRDefault="00000000">
      <w:r>
        <w:pict w14:anchorId="69E5796B">
          <v:rect id="_x0000_i1025" style="width:0;height:1.5pt" o:hralign="center" o:hrstd="t" o:hr="t"/>
        </w:pict>
      </w:r>
    </w:p>
    <w:p w14:paraId="7276BEAD" w14:textId="77777777" w:rsidR="009D52AA" w:rsidRDefault="00000000">
      <w:pPr>
        <w:pStyle w:val="Heading2"/>
      </w:pPr>
      <w:bookmarkStart w:id="1" w:name="table-of-contents"/>
      <w:r>
        <w:t>TABLE OF CONTENTS</w:t>
      </w:r>
    </w:p>
    <w:p w14:paraId="507DF5AC" w14:textId="77777777" w:rsidR="009D52AA" w:rsidRDefault="00000000">
      <w:pPr>
        <w:numPr>
          <w:ilvl w:val="0"/>
          <w:numId w:val="3"/>
        </w:numPr>
      </w:pPr>
      <w:r>
        <w:rPr>
          <w:b/>
          <w:bCs/>
        </w:rPr>
        <w:t>EXECUTIVE SUMMARY</w:t>
      </w:r>
    </w:p>
    <w:p w14:paraId="0B46A706" w14:textId="77777777" w:rsidR="009D52AA" w:rsidRDefault="00000000">
      <w:pPr>
        <w:numPr>
          <w:ilvl w:val="0"/>
          <w:numId w:val="3"/>
        </w:numPr>
      </w:pPr>
      <w:r>
        <w:rPr>
          <w:b/>
          <w:bCs/>
        </w:rPr>
        <w:t>VERSION HISTORY</w:t>
      </w:r>
    </w:p>
    <w:p w14:paraId="308234FF" w14:textId="77777777" w:rsidR="009D52AA" w:rsidRDefault="00000000">
      <w:pPr>
        <w:numPr>
          <w:ilvl w:val="0"/>
          <w:numId w:val="3"/>
        </w:numPr>
      </w:pPr>
      <w:r>
        <w:rPr>
          <w:b/>
          <w:bCs/>
        </w:rPr>
        <w:t>PARTIES INVOLVED</w:t>
      </w:r>
    </w:p>
    <w:p w14:paraId="0E37EDBC" w14:textId="77777777" w:rsidR="009D52AA" w:rsidRDefault="00000000">
      <w:pPr>
        <w:numPr>
          <w:ilvl w:val="0"/>
          <w:numId w:val="3"/>
        </w:numPr>
      </w:pPr>
      <w:r>
        <w:rPr>
          <w:b/>
          <w:bCs/>
        </w:rPr>
        <w:t>BACKGROUND &amp; FACTUAL SUMMARY</w:t>
      </w:r>
    </w:p>
    <w:p w14:paraId="12A809A2" w14:textId="77777777" w:rsidR="009D52AA" w:rsidRDefault="00000000">
      <w:pPr>
        <w:numPr>
          <w:ilvl w:val="0"/>
          <w:numId w:val="3"/>
        </w:numPr>
      </w:pPr>
      <w:r>
        <w:rPr>
          <w:b/>
          <w:bCs/>
        </w:rPr>
        <w:t>COMPREHENSIVE TIMELINE OF EVENTS</w:t>
      </w:r>
    </w:p>
    <w:p w14:paraId="53865881" w14:textId="77777777" w:rsidR="009D52AA" w:rsidRDefault="00000000">
      <w:pPr>
        <w:numPr>
          <w:ilvl w:val="0"/>
          <w:numId w:val="3"/>
        </w:numPr>
      </w:pPr>
      <w:r>
        <w:rPr>
          <w:b/>
          <w:bCs/>
        </w:rPr>
        <w:t>EVIDENCE INVENTORY</w:t>
      </w:r>
    </w:p>
    <w:p w14:paraId="63FE1FBB" w14:textId="77777777" w:rsidR="009D52AA" w:rsidRDefault="00000000">
      <w:pPr>
        <w:numPr>
          <w:ilvl w:val="0"/>
          <w:numId w:val="3"/>
        </w:numPr>
      </w:pPr>
      <w:r>
        <w:rPr>
          <w:b/>
          <w:bCs/>
        </w:rPr>
        <w:t>LEGAL ANALYSIS</w:t>
      </w:r>
    </w:p>
    <w:p w14:paraId="27144517" w14:textId="77777777" w:rsidR="009D52AA" w:rsidRDefault="00000000">
      <w:pPr>
        <w:numPr>
          <w:ilvl w:val="1"/>
          <w:numId w:val="4"/>
        </w:numPr>
      </w:pPr>
      <w:r>
        <w:t>A. Fair Housing Act Violation: Familial Status Discrimination</w:t>
      </w:r>
    </w:p>
    <w:p w14:paraId="4FAB5C5F" w14:textId="77777777" w:rsidR="009D52AA" w:rsidRDefault="00000000">
      <w:pPr>
        <w:numPr>
          <w:ilvl w:val="1"/>
          <w:numId w:val="4"/>
        </w:numPr>
      </w:pPr>
      <w:r>
        <w:t>B. Tortious Interference with Contract</w:t>
      </w:r>
    </w:p>
    <w:p w14:paraId="7C037A41" w14:textId="77777777" w:rsidR="009D52AA" w:rsidRDefault="00000000">
      <w:pPr>
        <w:numPr>
          <w:ilvl w:val="1"/>
          <w:numId w:val="4"/>
        </w:numPr>
      </w:pPr>
      <w:r>
        <w:t>C. Attorney Liability &amp; Professional Misconduct (Stoll Keenon Ogden)</w:t>
      </w:r>
    </w:p>
    <w:p w14:paraId="2C761656" w14:textId="77777777" w:rsidR="009D52AA" w:rsidRDefault="00000000">
      <w:pPr>
        <w:numPr>
          <w:ilvl w:val="1"/>
          <w:numId w:val="4"/>
        </w:numPr>
      </w:pPr>
      <w:r>
        <w:t>D. Retaliation (42 U.S.C. § 3617)</w:t>
      </w:r>
    </w:p>
    <w:p w14:paraId="4943AB7F" w14:textId="77777777" w:rsidR="009D52AA" w:rsidRDefault="00000000">
      <w:pPr>
        <w:numPr>
          <w:ilvl w:val="1"/>
          <w:numId w:val="4"/>
        </w:numPr>
      </w:pPr>
      <w:r>
        <w:t>E. Conflict of Interest (Indiana Rule of Professional Conduct 1.7)</w:t>
      </w:r>
    </w:p>
    <w:p w14:paraId="44170133" w14:textId="77777777" w:rsidR="009D52AA" w:rsidRDefault="00000000">
      <w:pPr>
        <w:numPr>
          <w:ilvl w:val="0"/>
          <w:numId w:val="3"/>
        </w:numPr>
      </w:pPr>
      <w:r>
        <w:rPr>
          <w:b/>
          <w:bCs/>
        </w:rPr>
        <w:t>PROPOSED STATEMENT FOR JUDGE MURRIE</w:t>
      </w:r>
    </w:p>
    <w:p w14:paraId="4195E81B" w14:textId="77777777" w:rsidR="009D52AA" w:rsidRDefault="00000000">
      <w:pPr>
        <w:numPr>
          <w:ilvl w:val="0"/>
          <w:numId w:val="3"/>
        </w:numPr>
      </w:pPr>
      <w:r>
        <w:rPr>
          <w:b/>
          <w:bCs/>
        </w:rPr>
        <w:t>EVIDENCE CORRELATION CHART</w:t>
      </w:r>
    </w:p>
    <w:p w14:paraId="2EF620D6" w14:textId="77777777" w:rsidR="009D52AA" w:rsidRDefault="00000000">
      <w:pPr>
        <w:numPr>
          <w:ilvl w:val="0"/>
          <w:numId w:val="3"/>
        </w:numPr>
      </w:pPr>
      <w:r>
        <w:rPr>
          <w:b/>
          <w:bCs/>
        </w:rPr>
        <w:t>DAMAGES ANALYSIS</w:t>
      </w:r>
    </w:p>
    <w:p w14:paraId="33568118" w14:textId="77777777" w:rsidR="009D52AA" w:rsidRDefault="00000000">
      <w:pPr>
        <w:numPr>
          <w:ilvl w:val="0"/>
          <w:numId w:val="3"/>
        </w:numPr>
      </w:pPr>
      <w:r>
        <w:rPr>
          <w:b/>
          <w:bCs/>
        </w:rPr>
        <w:lastRenderedPageBreak/>
        <w:t>RECOMMENDATIONS &amp; NEXT STEPS</w:t>
      </w:r>
    </w:p>
    <w:p w14:paraId="18A336E9" w14:textId="77777777" w:rsidR="009D52AA" w:rsidRDefault="00000000">
      <w:r>
        <w:pict w14:anchorId="236FFA67">
          <v:rect id="_x0000_i1026" style="width:0;height:1.5pt" o:hralign="center" o:hrstd="t" o:hr="t"/>
        </w:pict>
      </w:r>
    </w:p>
    <w:p w14:paraId="487E3D2B" w14:textId="77777777" w:rsidR="009D52AA" w:rsidRDefault="00000000">
      <w:pPr>
        <w:pStyle w:val="Heading2"/>
      </w:pPr>
      <w:bookmarkStart w:id="2" w:name="executive-summary"/>
      <w:bookmarkEnd w:id="1"/>
      <w:r>
        <w:t>1. EXECUTIVE SUMMARY</w:t>
      </w:r>
    </w:p>
    <w:p w14:paraId="2DFD8120" w14:textId="77777777" w:rsidR="009D52AA" w:rsidRDefault="00000000">
      <w:r>
        <w:t>This memorandum outlines a multi-faceted legal case arising from the collapsed real estate transaction between the Held and Rudolph families. The evidence indicates a clear, actionable violation of the federal Fair Housing Act based on familial status, directly supported by the seller’s representative’s own admissions.</w:t>
      </w:r>
    </w:p>
    <w:p w14:paraId="714F6EAE" w14:textId="77777777" w:rsidR="009D52AA" w:rsidRDefault="00000000">
      <w:pPr>
        <w:pStyle w:val="BodyText"/>
      </w:pPr>
      <w:r>
        <w:t>Furthermore, the timeline and documentary evidence strongly support claims of tortious interference and retaliation orchestrated by the seller’s legal counsel, Andy Nestrick of Stoll Keenon Ogden, PLLC (SKO). Mr. Nestrick, who is a defendant in a separate civil tort claim brought by the Helds, appears to have used his advisory role in the real estate transaction to introduce discriminatory terms, disclose confidential litigation information to his client, and retaliate against the Helds for pursuing their legal rights.</w:t>
      </w:r>
    </w:p>
    <w:p w14:paraId="0F56030C" w14:textId="77777777" w:rsidR="009D52AA" w:rsidRDefault="00000000">
      <w:pPr>
        <w:pStyle w:val="BodyText"/>
      </w:pPr>
      <w:r>
        <w:t>The key findings are:</w:t>
      </w:r>
    </w:p>
    <w:p w14:paraId="71BFA452" w14:textId="77777777" w:rsidR="009D52AA" w:rsidRDefault="00000000">
      <w:pPr>
        <w:numPr>
          <w:ilvl w:val="0"/>
          <w:numId w:val="5"/>
        </w:numPr>
      </w:pPr>
      <w:r>
        <w:rPr>
          <w:b/>
          <w:bCs/>
        </w:rPr>
        <w:t>Direct Evidence of Fair Housing Violation:</w:t>
      </w:r>
      <w:r>
        <w:t xml:space="preserve"> The seller’s representative, Peter Rudolph, explicitly stated the transaction was terminated because he </w:t>
      </w:r>
      <w:r>
        <w:rPr>
          <w:b/>
          <w:bCs/>
        </w:rPr>
        <w:t>“did not want to have kids in the home”</w:t>
      </w:r>
      <w:r>
        <w:t xml:space="preserve"> (Exhibit E).</w:t>
      </w:r>
    </w:p>
    <w:p w14:paraId="600FCA22" w14:textId="77777777" w:rsidR="009D52AA" w:rsidRDefault="00000000">
      <w:pPr>
        <w:numPr>
          <w:ilvl w:val="0"/>
          <w:numId w:val="5"/>
        </w:numPr>
      </w:pPr>
      <w:r>
        <w:rPr>
          <w:b/>
          <w:bCs/>
        </w:rPr>
        <w:t>Clear Disparate Treatment:</w:t>
      </w:r>
      <w:r>
        <w:t xml:space="preserve"> A tenant with children (Lindi) was not required to sign a “Hold Harmless” waiver, while the Helds (buyers with children) were. Peter Rudolph admitted he had never required such a waiver from any other tenant (Exhibits E, F).</w:t>
      </w:r>
    </w:p>
    <w:p w14:paraId="58CA6D5E" w14:textId="77777777" w:rsidR="009D52AA" w:rsidRDefault="00000000">
      <w:pPr>
        <w:numPr>
          <w:ilvl w:val="0"/>
          <w:numId w:val="5"/>
        </w:numPr>
      </w:pPr>
      <w:r>
        <w:rPr>
          <w:b/>
          <w:bCs/>
        </w:rPr>
        <w:t>Attorney-Driven Interference:</w:t>
      </w:r>
      <w:r>
        <w:t xml:space="preserve"> The transaction soured only after the intervention of attorney Andy Nestrick, who introduced predatory and discriminatory contract terms, including an attempt to disinherit the Held family from their ancestral farm (Exhibit G).</w:t>
      </w:r>
    </w:p>
    <w:p w14:paraId="68D28204" w14:textId="77777777" w:rsidR="009D52AA" w:rsidRDefault="00000000">
      <w:pPr>
        <w:numPr>
          <w:ilvl w:val="0"/>
          <w:numId w:val="5"/>
        </w:numPr>
      </w:pPr>
      <w:r>
        <w:rPr>
          <w:b/>
          <w:bCs/>
        </w:rPr>
        <w:lastRenderedPageBreak/>
        <w:t>Provable Retaliation:</w:t>
      </w:r>
      <w:r>
        <w:t xml:space="preserve"> Within three (3) days of SKO being served notice of a motion to depose the Rudolphs as witnesses, the Rudolphs’ new counsel sent a demand letter completely reversing a prior agreement regarding on-site storage, creating a clear inference of retaliation.</w:t>
      </w:r>
    </w:p>
    <w:p w14:paraId="6ED2CF9B" w14:textId="77777777" w:rsidR="009D52AA" w:rsidRDefault="00000000">
      <w:pPr>
        <w:numPr>
          <w:ilvl w:val="0"/>
          <w:numId w:val="5"/>
        </w:numPr>
      </w:pPr>
      <w:r>
        <w:rPr>
          <w:b/>
          <w:bCs/>
        </w:rPr>
        <w:t>Non-Consentable Conflict of Interest:</w:t>
      </w:r>
      <w:r>
        <w:t xml:space="preserve"> Attorney Nestrick advised his client in a transaction against the Helds while simultaneously being an adverse party to the Helds in active litigation, a serious ethical breach.</w:t>
      </w:r>
    </w:p>
    <w:p w14:paraId="28736CB0" w14:textId="77777777" w:rsidR="009D52AA" w:rsidRDefault="00000000">
      <w:r>
        <w:t>The confluence of direct admissions, documentary evidence, and a highly suspicious timeline creates a compelling basis for multiple causes of action against the Rudolphs, Andy Nestrick, and SKO.</w:t>
      </w:r>
    </w:p>
    <w:p w14:paraId="6F1D6DAF" w14:textId="77777777" w:rsidR="009D52AA" w:rsidRDefault="00000000">
      <w:pPr>
        <w:pStyle w:val="Heading2"/>
      </w:pPr>
      <w:bookmarkStart w:id="3" w:name="version-history"/>
      <w:bookmarkEnd w:id="2"/>
      <w:r>
        <w:t>2. VERSION HISTORY</w:t>
      </w:r>
    </w:p>
    <w:p w14:paraId="5705B2EE" w14:textId="77777777" w:rsidR="009D52AA" w:rsidRDefault="00000000">
      <w:pPr>
        <w:numPr>
          <w:ilvl w:val="0"/>
          <w:numId w:val="6"/>
        </w:numPr>
      </w:pPr>
      <w:r>
        <w:rPr>
          <w:b/>
          <w:bCs/>
        </w:rPr>
        <w:t>v1.0 (Initial Draft):</w:t>
      </w:r>
      <w:r>
        <w:t xml:space="preserve"> Identified primary Fair Housing violation and potential attorney conflict of interest.</w:t>
      </w:r>
    </w:p>
    <w:p w14:paraId="10AE4515" w14:textId="77777777" w:rsidR="009D52AA" w:rsidRDefault="00000000">
      <w:pPr>
        <w:numPr>
          <w:ilvl w:val="0"/>
          <w:numId w:val="6"/>
        </w:numPr>
      </w:pPr>
      <w:r>
        <w:rPr>
          <w:b/>
          <w:bCs/>
        </w:rPr>
        <w:t>v2.0 (Revision):</w:t>
      </w:r>
      <w:r>
        <w:t xml:space="preserve"> Incorporated new facts regarding attorney’s active participation, disclosure of confidential information, and specific admissions by Peter Rudolph establishing disparate treatment.</w:t>
      </w:r>
    </w:p>
    <w:p w14:paraId="089CEA55" w14:textId="77777777" w:rsidR="009D52AA" w:rsidRDefault="00000000">
      <w:pPr>
        <w:numPr>
          <w:ilvl w:val="0"/>
          <w:numId w:val="6"/>
        </w:numPr>
      </w:pPr>
      <w:r>
        <w:rPr>
          <w:b/>
          <w:bCs/>
        </w:rPr>
        <w:t>v3.0 (Revision):</w:t>
      </w:r>
      <w:r>
        <w:t xml:space="preserve"> Corrected the critical retaliation timeline, shifting the dates from June to April and clarifying the sequence of the TPO filing, service, and the storage unit demand letter.</w:t>
      </w:r>
    </w:p>
    <w:p w14:paraId="06D67F19" w14:textId="77777777" w:rsidR="009D52AA" w:rsidRDefault="00000000">
      <w:pPr>
        <w:numPr>
          <w:ilvl w:val="0"/>
          <w:numId w:val="6"/>
        </w:numPr>
      </w:pPr>
      <w:r>
        <w:rPr>
          <w:b/>
          <w:bCs/>
        </w:rPr>
        <w:t>v4.0 (Current Version):</w:t>
      </w:r>
      <w:r>
        <w:t xml:space="preserve"> Refined timeline with specific dates and events from March-April. Clarified which evidence comes from the partial call recording (Exhibit D) versus contemporaneous notes and witness testimony (Exhibits E, F). Incorporated details of the predatory “Option to Purchase” clause (Exhibit G) and Peter Rudolph’s initial promises from January 4.</w:t>
      </w:r>
    </w:p>
    <w:p w14:paraId="6DD688BE" w14:textId="77777777" w:rsidR="009D52AA" w:rsidRDefault="00000000">
      <w:pPr>
        <w:pStyle w:val="Heading2"/>
      </w:pPr>
      <w:bookmarkStart w:id="4" w:name="parties-involved"/>
      <w:bookmarkEnd w:id="3"/>
      <w:r>
        <w:t>3. PARTIES INVOLVED</w:t>
      </w:r>
    </w:p>
    <w:p w14:paraId="5A48D6BC" w14:textId="77777777" w:rsidR="009D52AA" w:rsidRDefault="00000000">
      <w:pPr>
        <w:numPr>
          <w:ilvl w:val="0"/>
          <w:numId w:val="7"/>
        </w:numPr>
      </w:pPr>
      <w:r>
        <w:rPr>
          <w:b/>
          <w:bCs/>
        </w:rPr>
        <w:lastRenderedPageBreak/>
        <w:t>Buyers:</w:t>
      </w:r>
      <w:r>
        <w:t xml:space="preserve"> Charles J. Held and Kristi D. Held</w:t>
      </w:r>
    </w:p>
    <w:p w14:paraId="3762D1EC" w14:textId="77777777" w:rsidR="009D52AA" w:rsidRDefault="00000000">
      <w:pPr>
        <w:numPr>
          <w:ilvl w:val="0"/>
          <w:numId w:val="7"/>
        </w:numPr>
      </w:pPr>
      <w:r>
        <w:rPr>
          <w:b/>
          <w:bCs/>
        </w:rPr>
        <w:t>Seller:</w:t>
      </w:r>
      <w:r>
        <w:t xml:space="preserve"> Glenn E. Rudolph (Owner of 155 S. Yankeetown Road)</w:t>
      </w:r>
    </w:p>
    <w:p w14:paraId="651C2C97" w14:textId="77777777" w:rsidR="009D52AA" w:rsidRDefault="00000000">
      <w:pPr>
        <w:numPr>
          <w:ilvl w:val="0"/>
          <w:numId w:val="7"/>
        </w:numPr>
      </w:pPr>
      <w:r>
        <w:rPr>
          <w:b/>
          <w:bCs/>
        </w:rPr>
        <w:t>Seller’s Representative:</w:t>
      </w:r>
      <w:r>
        <w:t xml:space="preserve"> Peter Rudolph (Son of Glenn Rudolph)</w:t>
      </w:r>
    </w:p>
    <w:p w14:paraId="04E77F3E" w14:textId="77777777" w:rsidR="009D52AA" w:rsidRDefault="00000000">
      <w:pPr>
        <w:numPr>
          <w:ilvl w:val="0"/>
          <w:numId w:val="7"/>
        </w:numPr>
      </w:pPr>
      <w:r>
        <w:rPr>
          <w:b/>
          <w:bCs/>
        </w:rPr>
        <w:t>Seller’s Representative’s Spouse:</w:t>
      </w:r>
      <w:r>
        <w:t xml:space="preserve"> Sabyn Rudolph (Consulted by Peter throughout)</w:t>
      </w:r>
    </w:p>
    <w:p w14:paraId="40090D98" w14:textId="77777777" w:rsidR="009D52AA" w:rsidRDefault="00000000">
      <w:pPr>
        <w:numPr>
          <w:ilvl w:val="0"/>
          <w:numId w:val="7"/>
        </w:numPr>
      </w:pPr>
      <w:r>
        <w:rPr>
          <w:b/>
          <w:bCs/>
        </w:rPr>
        <w:t>Seller’s Attorney:</w:t>
      </w:r>
      <w:r>
        <w:t xml:space="preserve"> Andy Nestrick (Stoll Keenon Ogden, PLLC)</w:t>
      </w:r>
    </w:p>
    <w:p w14:paraId="365B502B" w14:textId="77777777" w:rsidR="009D52AA" w:rsidRDefault="00000000">
      <w:pPr>
        <w:numPr>
          <w:ilvl w:val="0"/>
          <w:numId w:val="7"/>
        </w:numPr>
      </w:pPr>
      <w:r>
        <w:rPr>
          <w:b/>
          <w:bCs/>
        </w:rPr>
        <w:t>Current Tenant:</w:t>
      </w:r>
      <w:r>
        <w:t xml:space="preserve"> Lindi (Tenant at 155 S. Yankeetown, has children)</w:t>
      </w:r>
    </w:p>
    <w:p w14:paraId="681F5431" w14:textId="77777777" w:rsidR="009D52AA" w:rsidRDefault="00000000">
      <w:pPr>
        <w:pStyle w:val="Heading2"/>
      </w:pPr>
      <w:bookmarkStart w:id="5" w:name="background-factual-summary"/>
      <w:bookmarkEnd w:id="4"/>
      <w:r>
        <w:t>4. BACKGROUND &amp; FACTUAL SUMMARY</w:t>
      </w:r>
    </w:p>
    <w:p w14:paraId="14EDBC16" w14:textId="77777777" w:rsidR="009D52AA" w:rsidRDefault="00000000">
      <w:r>
        <w:t>From January to early April 2026, Charles and Kristi Held engaged in good-faith negotiations to purchase 155 S. Yankeetown Road, an ancestral Held family home, from Glenn Rudolph, who was represented by his son, Peter. Negotiations began amicably, with Peter Rudolph assuring the Helds on January 4 that he had “no desire to come between the family and the ground” (Exhibit F).</w:t>
      </w:r>
    </w:p>
    <w:p w14:paraId="7F555B20" w14:textId="77777777" w:rsidR="009D52AA" w:rsidRDefault="00000000">
      <w:pPr>
        <w:pStyle w:val="BodyText"/>
      </w:pPr>
      <w:r>
        <w:t>The relationship soured following the involvement of the Rudolphs’ long-time attorney, Andy Nestrick of SKO. On January 21, Nestrick drafted a term sheet containing a predatory “Option to Purchase” that would have stripped three generations of the Held family of their inheritance rights to an adjacent 85-acre family farm (Exhibit G), a direct contradiction of Peter’s initial promises.</w:t>
      </w:r>
    </w:p>
    <w:p w14:paraId="0895D13D" w14:textId="77777777" w:rsidR="009D52AA" w:rsidRDefault="00000000">
      <w:pPr>
        <w:pStyle w:val="BodyText"/>
      </w:pPr>
      <w:r>
        <w:t>After this initial overreach was rejected, the parties reached a verbal agreement on all key terms. At Peter’s request, the Helds submitted a formal Purchase Agreement on March 27. Subsequently, Peter expressed concern about a pre-closing possession clause and stated his intent to consult Nestrick. On April 5, Peter returned a document titled “Edits to Held Purchase Agreement” which, for the first time, included a broad, non-standard “Hold Harmless” clause and an aggressive closing deadline (Exhibit A).</w:t>
      </w:r>
    </w:p>
    <w:p w14:paraId="7688D950" w14:textId="77777777" w:rsidR="009D52AA" w:rsidRDefault="00000000">
      <w:pPr>
        <w:pStyle w:val="BodyText"/>
      </w:pPr>
      <w:r>
        <w:t xml:space="preserve">During an April 6 phone call, Peter admitted this waiver was targeted at the Helds due to the presence of their children and his fear of being sued, referencing the Helds’ pending tort </w:t>
      </w:r>
      <w:r>
        <w:lastRenderedPageBreak/>
        <w:t xml:space="preserve">claim against his attorney, Mr. Nestrick (Exhibits E, F). He further admitted he had never required such a waiver from any other tenants, including Lindi, the current tenant who also has children. The call concluded with Peter stating he needed to consult his attorney at 11:00 AM the next day before making a final decision (Exhibit D). On April 7, immediately following that consultation, Peter terminated the agreement, explicitly stating it was because he </w:t>
      </w:r>
      <w:r>
        <w:rPr>
          <w:b/>
          <w:bCs/>
        </w:rPr>
        <w:t>“did not want to have kids in the home”</w:t>
      </w:r>
      <w:r>
        <w:t xml:space="preserve"> (Exhibit E).</w:t>
      </w:r>
    </w:p>
    <w:p w14:paraId="7B05CF31" w14:textId="77777777" w:rsidR="009D52AA" w:rsidRDefault="00000000">
      <w:pPr>
        <w:pStyle w:val="BodyText"/>
      </w:pPr>
      <w:r>
        <w:t>The Helds filed a motion for a Temporary Protective Order (TPO) in their civil suit against SKO on April 10 to prevent witness tampering with the Rudolphs. Three days after SKO was served notice of this motion on April 20, the Rudolphs, through new counsel, retaliated by demanding the immediate removal of the Helds’ storage units from the property, reversing a prior, more lenient agreement.</w:t>
      </w:r>
    </w:p>
    <w:p w14:paraId="28EA71D4" w14:textId="77777777" w:rsidR="009D52AA" w:rsidRDefault="00000000">
      <w:pPr>
        <w:pStyle w:val="Heading2"/>
      </w:pPr>
      <w:bookmarkStart w:id="6" w:name="comprehensive-timeline-of-events"/>
      <w:bookmarkEnd w:id="5"/>
      <w:r>
        <w:t>5. COMPREHENSIVE TIMELINE OF EVENTS</w:t>
      </w:r>
    </w:p>
    <w:tbl>
      <w:tblPr>
        <w:tblW w:w="5000" w:type="pct"/>
        <w:tblLayout w:type="fixed"/>
        <w:tblCellMar>
          <w:left w:w="10" w:type="dxa"/>
          <w:right w:w="10" w:type="dxa"/>
        </w:tblCellMar>
        <w:tblLook w:val="0020" w:firstRow="1" w:lastRow="0" w:firstColumn="0" w:lastColumn="0" w:noHBand="0" w:noVBand="0"/>
      </w:tblPr>
      <w:tblGrid>
        <w:gridCol w:w="3008"/>
        <w:gridCol w:w="3009"/>
        <w:gridCol w:w="3009"/>
      </w:tblGrid>
      <w:tr w:rsidR="009D52AA" w14:paraId="2E8ED5BC" w14:textId="77777777">
        <w:tblPrEx>
          <w:tblCellMar>
            <w:top w:w="0" w:type="dxa"/>
            <w:bottom w:w="0" w:type="dxa"/>
          </w:tblCellMar>
        </w:tblPrEx>
        <w:trPr>
          <w:tblHeader/>
        </w:trPr>
        <w:tc>
          <w:tcPr>
            <w:tcW w:w="2640" w:type="dxa"/>
          </w:tcPr>
          <w:p w14:paraId="451DA290" w14:textId="77777777" w:rsidR="009D52AA" w:rsidRDefault="00000000">
            <w:r>
              <w:rPr>
                <w:b/>
                <w:bCs/>
              </w:rPr>
              <w:t>Date</w:t>
            </w:r>
          </w:p>
        </w:tc>
        <w:tc>
          <w:tcPr>
            <w:tcW w:w="2640" w:type="dxa"/>
          </w:tcPr>
          <w:p w14:paraId="1CF25245" w14:textId="77777777" w:rsidR="009D52AA" w:rsidRDefault="00000000">
            <w:r>
              <w:rPr>
                <w:b/>
                <w:bCs/>
              </w:rPr>
              <w:t>Event</w:t>
            </w:r>
          </w:p>
        </w:tc>
        <w:tc>
          <w:tcPr>
            <w:tcW w:w="2640" w:type="dxa"/>
          </w:tcPr>
          <w:p w14:paraId="174AE062" w14:textId="77777777" w:rsidR="009D52AA" w:rsidRDefault="00000000">
            <w:r>
              <w:rPr>
                <w:b/>
                <w:bCs/>
              </w:rPr>
              <w:t>Source(s)</w:t>
            </w:r>
          </w:p>
        </w:tc>
      </w:tr>
      <w:tr w:rsidR="009D52AA" w14:paraId="525018FB" w14:textId="77777777">
        <w:tblPrEx>
          <w:tblCellMar>
            <w:top w:w="0" w:type="dxa"/>
            <w:bottom w:w="0" w:type="dxa"/>
          </w:tblCellMar>
        </w:tblPrEx>
        <w:tc>
          <w:tcPr>
            <w:tcW w:w="2640" w:type="dxa"/>
          </w:tcPr>
          <w:p w14:paraId="38AA67BC" w14:textId="77777777" w:rsidR="009D52AA" w:rsidRDefault="00000000">
            <w:r>
              <w:rPr>
                <w:b/>
                <w:bCs/>
              </w:rPr>
              <w:t>Jan 4, 2026</w:t>
            </w:r>
          </w:p>
        </w:tc>
        <w:tc>
          <w:tcPr>
            <w:tcW w:w="2640" w:type="dxa"/>
          </w:tcPr>
          <w:p w14:paraId="7C5A7A59" w14:textId="77777777" w:rsidR="009D52AA" w:rsidRDefault="00000000">
            <w:r>
              <w:t>Initial meeting. Peter Rudolph repeatedly states he has “no desire to come between the family and the ground.” Held children and their needs are disclosed.</w:t>
            </w:r>
          </w:p>
        </w:tc>
        <w:tc>
          <w:tcPr>
            <w:tcW w:w="2640" w:type="dxa"/>
          </w:tcPr>
          <w:p w14:paraId="3614AD7B" w14:textId="77777777" w:rsidR="009D52AA" w:rsidRDefault="00000000">
            <w:r>
              <w:t>Exhibit F</w:t>
            </w:r>
          </w:p>
        </w:tc>
      </w:tr>
      <w:tr w:rsidR="009D52AA" w14:paraId="215CAF08" w14:textId="77777777">
        <w:tblPrEx>
          <w:tblCellMar>
            <w:top w:w="0" w:type="dxa"/>
            <w:bottom w:w="0" w:type="dxa"/>
          </w:tblCellMar>
        </w:tblPrEx>
        <w:tc>
          <w:tcPr>
            <w:tcW w:w="2640" w:type="dxa"/>
          </w:tcPr>
          <w:p w14:paraId="65DB3218" w14:textId="77777777" w:rsidR="009D52AA" w:rsidRDefault="00000000">
            <w:r>
              <w:rPr>
                <w:b/>
                <w:bCs/>
              </w:rPr>
              <w:t>Jan 21, 2026</w:t>
            </w:r>
          </w:p>
        </w:tc>
        <w:tc>
          <w:tcPr>
            <w:tcW w:w="2640" w:type="dxa"/>
          </w:tcPr>
          <w:p w14:paraId="251DA58D" w14:textId="77777777" w:rsidR="009D52AA" w:rsidRDefault="00000000">
            <w:r>
              <w:t xml:space="preserve">Andy Nestrick (SKO) drafts a term sheet with a controversial “Option to Purchase” clause that would disinherit the Held family from 85 acres of their </w:t>
            </w:r>
            <w:r>
              <w:lastRenderedPageBreak/>
              <w:t>ancestral farm ground upon Ann Held’s death.</w:t>
            </w:r>
          </w:p>
        </w:tc>
        <w:tc>
          <w:tcPr>
            <w:tcW w:w="2640" w:type="dxa"/>
          </w:tcPr>
          <w:p w14:paraId="7D64DC19" w14:textId="77777777" w:rsidR="009D52AA" w:rsidRDefault="00000000">
            <w:r>
              <w:lastRenderedPageBreak/>
              <w:t>Exhibit G</w:t>
            </w:r>
          </w:p>
        </w:tc>
      </w:tr>
      <w:tr w:rsidR="009D52AA" w14:paraId="5A3CE4F2" w14:textId="77777777">
        <w:tblPrEx>
          <w:tblCellMar>
            <w:top w:w="0" w:type="dxa"/>
            <w:bottom w:w="0" w:type="dxa"/>
          </w:tblCellMar>
        </w:tblPrEx>
        <w:tc>
          <w:tcPr>
            <w:tcW w:w="2640" w:type="dxa"/>
          </w:tcPr>
          <w:p w14:paraId="7BB39ACC" w14:textId="77777777" w:rsidR="009D52AA" w:rsidRDefault="00000000">
            <w:r>
              <w:rPr>
                <w:b/>
                <w:bCs/>
              </w:rPr>
              <w:t>Jan 28, 2026</w:t>
            </w:r>
          </w:p>
        </w:tc>
        <w:tc>
          <w:tcPr>
            <w:tcW w:w="2640" w:type="dxa"/>
          </w:tcPr>
          <w:p w14:paraId="34467C98" w14:textId="77777777" w:rsidR="009D52AA" w:rsidRDefault="00000000">
            <w:r>
              <w:t>Peter Rudolph emails the SKO-drafted language to the Helds.</w:t>
            </w:r>
          </w:p>
        </w:tc>
        <w:tc>
          <w:tcPr>
            <w:tcW w:w="2640" w:type="dxa"/>
          </w:tcPr>
          <w:p w14:paraId="0F26B00F" w14:textId="77777777" w:rsidR="009D52AA" w:rsidRDefault="00000000">
            <w:r>
              <w:t>Email Records</w:t>
            </w:r>
          </w:p>
        </w:tc>
      </w:tr>
      <w:tr w:rsidR="009D52AA" w14:paraId="0A6DA427" w14:textId="77777777">
        <w:tblPrEx>
          <w:tblCellMar>
            <w:top w:w="0" w:type="dxa"/>
            <w:bottom w:w="0" w:type="dxa"/>
          </w:tblCellMar>
        </w:tblPrEx>
        <w:tc>
          <w:tcPr>
            <w:tcW w:w="2640" w:type="dxa"/>
          </w:tcPr>
          <w:p w14:paraId="6D280C46" w14:textId="77777777" w:rsidR="009D52AA" w:rsidRDefault="00000000">
            <w:r>
              <w:rPr>
                <w:b/>
                <w:bCs/>
              </w:rPr>
              <w:t>March 2026</w:t>
            </w:r>
          </w:p>
        </w:tc>
        <w:tc>
          <w:tcPr>
            <w:tcW w:w="2640" w:type="dxa"/>
          </w:tcPr>
          <w:p w14:paraId="346BDD01" w14:textId="77777777" w:rsidR="009D52AA" w:rsidRDefault="00000000">
            <w:r>
              <w:t>Helds submit a Purchase Agreement at Peter’s request so he can provide notice to the current tenant, Lindi.</w:t>
            </w:r>
          </w:p>
        </w:tc>
        <w:tc>
          <w:tcPr>
            <w:tcW w:w="2640" w:type="dxa"/>
          </w:tcPr>
          <w:p w14:paraId="290A47B5" w14:textId="77777777" w:rsidR="009D52AA" w:rsidRDefault="00000000">
            <w:r>
              <w:t>Exhibit C</w:t>
            </w:r>
          </w:p>
        </w:tc>
      </w:tr>
      <w:tr w:rsidR="009D52AA" w14:paraId="36FEB004" w14:textId="77777777">
        <w:tblPrEx>
          <w:tblCellMar>
            <w:top w:w="0" w:type="dxa"/>
            <w:bottom w:w="0" w:type="dxa"/>
          </w:tblCellMar>
        </w:tblPrEx>
        <w:tc>
          <w:tcPr>
            <w:tcW w:w="2640" w:type="dxa"/>
          </w:tcPr>
          <w:p w14:paraId="2B3F24E4" w14:textId="77777777" w:rsidR="009D52AA" w:rsidRDefault="00000000">
            <w:r>
              <w:rPr>
                <w:b/>
                <w:bCs/>
              </w:rPr>
              <w:t>Mar 27, 2026</w:t>
            </w:r>
          </w:p>
        </w:tc>
        <w:tc>
          <w:tcPr>
            <w:tcW w:w="2640" w:type="dxa"/>
          </w:tcPr>
          <w:p w14:paraId="30770590" w14:textId="77777777" w:rsidR="009D52AA" w:rsidRDefault="00000000">
            <w:r>
              <w:t>Helds send the final Purchase Agreement with all verbally agreed-upon terms for Glenn Rudolph’s signature.</w:t>
            </w:r>
          </w:p>
        </w:tc>
        <w:tc>
          <w:tcPr>
            <w:tcW w:w="2640" w:type="dxa"/>
          </w:tcPr>
          <w:p w14:paraId="611D2AC5" w14:textId="77777777" w:rsidR="009D52AA" w:rsidRDefault="00000000">
            <w:r>
              <w:t>Exhibit A</w:t>
            </w:r>
          </w:p>
        </w:tc>
      </w:tr>
      <w:tr w:rsidR="009D52AA" w14:paraId="26AAF9A3" w14:textId="77777777">
        <w:tblPrEx>
          <w:tblCellMar>
            <w:top w:w="0" w:type="dxa"/>
            <w:bottom w:w="0" w:type="dxa"/>
          </w:tblCellMar>
        </w:tblPrEx>
        <w:tc>
          <w:tcPr>
            <w:tcW w:w="2640" w:type="dxa"/>
          </w:tcPr>
          <w:p w14:paraId="63B36B3C" w14:textId="77777777" w:rsidR="009D52AA" w:rsidRDefault="00000000">
            <w:r>
              <w:rPr>
                <w:b/>
                <w:bCs/>
              </w:rPr>
              <w:t>Late Mar/Early Apr</w:t>
            </w:r>
          </w:p>
        </w:tc>
        <w:tc>
          <w:tcPr>
            <w:tcW w:w="2640" w:type="dxa"/>
          </w:tcPr>
          <w:p w14:paraId="7525B835" w14:textId="77777777" w:rsidR="009D52AA" w:rsidRDefault="00000000">
            <w:r>
              <w:t>Peter texts his concern about the pre-closing possession clause, worrying it grants ownership. States he wants to contact his attorney.</w:t>
            </w:r>
          </w:p>
        </w:tc>
        <w:tc>
          <w:tcPr>
            <w:tcW w:w="2640" w:type="dxa"/>
          </w:tcPr>
          <w:p w14:paraId="4318BA2C" w14:textId="77777777" w:rsidR="009D52AA" w:rsidRDefault="00000000">
            <w:r>
              <w:t>Exhibit C</w:t>
            </w:r>
          </w:p>
        </w:tc>
      </w:tr>
      <w:tr w:rsidR="009D52AA" w14:paraId="26E9E8C7" w14:textId="77777777">
        <w:tblPrEx>
          <w:tblCellMar>
            <w:top w:w="0" w:type="dxa"/>
            <w:bottom w:w="0" w:type="dxa"/>
          </w:tblCellMar>
        </w:tblPrEx>
        <w:tc>
          <w:tcPr>
            <w:tcW w:w="2640" w:type="dxa"/>
          </w:tcPr>
          <w:p w14:paraId="083798EB" w14:textId="77777777" w:rsidR="009D52AA" w:rsidRDefault="00000000">
            <w:r>
              <w:rPr>
                <w:b/>
                <w:bCs/>
              </w:rPr>
              <w:t>Apr 5, 2026</w:t>
            </w:r>
          </w:p>
        </w:tc>
        <w:tc>
          <w:tcPr>
            <w:tcW w:w="2640" w:type="dxa"/>
          </w:tcPr>
          <w:p w14:paraId="57F21369" w14:textId="77777777" w:rsidR="009D52AA" w:rsidRDefault="00000000">
            <w:r>
              <w:t>Peter emails “Edits to Held Purchase Agreement,” introducing for the first time a hard closing deadline and a broad “Hold Harmless” clause.</w:t>
            </w:r>
          </w:p>
        </w:tc>
        <w:tc>
          <w:tcPr>
            <w:tcW w:w="2640" w:type="dxa"/>
          </w:tcPr>
          <w:p w14:paraId="7CDF8B24" w14:textId="77777777" w:rsidR="009D52AA" w:rsidRDefault="00000000">
            <w:r>
              <w:t>Exhibit A</w:t>
            </w:r>
          </w:p>
        </w:tc>
      </w:tr>
      <w:tr w:rsidR="009D52AA" w14:paraId="7E252F8F" w14:textId="77777777">
        <w:tblPrEx>
          <w:tblCellMar>
            <w:top w:w="0" w:type="dxa"/>
            <w:bottom w:w="0" w:type="dxa"/>
          </w:tblCellMar>
        </w:tblPrEx>
        <w:tc>
          <w:tcPr>
            <w:tcW w:w="2640" w:type="dxa"/>
          </w:tcPr>
          <w:p w14:paraId="7693E824" w14:textId="77777777" w:rsidR="009D52AA" w:rsidRDefault="00000000">
            <w:r>
              <w:rPr>
                <w:b/>
                <w:bCs/>
              </w:rPr>
              <w:lastRenderedPageBreak/>
              <w:t>Apr 6, 2026</w:t>
            </w:r>
          </w:p>
        </w:tc>
        <w:tc>
          <w:tcPr>
            <w:tcW w:w="2640" w:type="dxa"/>
          </w:tcPr>
          <w:p w14:paraId="233DA2B8" w14:textId="77777777" w:rsidR="009D52AA" w:rsidRDefault="00000000">
            <w:r>
              <w:rPr>
                <w:b/>
                <w:bCs/>
              </w:rPr>
              <w:t>Phone Call:</w:t>
            </w:r>
            <w:r>
              <w:t xml:space="preserve"> Peter admits the Hold Harmless is for his “protection” and that he has </w:t>
            </w:r>
            <w:r>
              <w:rPr>
                <w:b/>
                <w:bCs/>
              </w:rPr>
              <w:t>never</w:t>
            </w:r>
            <w:r>
              <w:t xml:space="preserve"> required such a waiver from any other tenant, including Lindi (who has children). Peter references Held’s recently deceased nephew and his fear of being sued.</w:t>
            </w:r>
          </w:p>
        </w:tc>
        <w:tc>
          <w:tcPr>
            <w:tcW w:w="2640" w:type="dxa"/>
          </w:tcPr>
          <w:p w14:paraId="0E982737" w14:textId="77777777" w:rsidR="009D52AA" w:rsidRDefault="00000000">
            <w:r>
              <w:t>Exhibits E, F</w:t>
            </w:r>
          </w:p>
        </w:tc>
      </w:tr>
      <w:tr w:rsidR="009D52AA" w14:paraId="54B36E12" w14:textId="77777777">
        <w:tblPrEx>
          <w:tblCellMar>
            <w:top w:w="0" w:type="dxa"/>
            <w:bottom w:w="0" w:type="dxa"/>
          </w:tblCellMar>
        </w:tblPrEx>
        <w:tc>
          <w:tcPr>
            <w:tcW w:w="2640" w:type="dxa"/>
          </w:tcPr>
          <w:p w14:paraId="739E8532" w14:textId="77777777" w:rsidR="009D52AA" w:rsidRDefault="00000000">
            <w:r>
              <w:rPr>
                <w:b/>
                <w:bCs/>
              </w:rPr>
              <w:t>Apr 6, 2026</w:t>
            </w:r>
          </w:p>
        </w:tc>
        <w:tc>
          <w:tcPr>
            <w:tcW w:w="2640" w:type="dxa"/>
          </w:tcPr>
          <w:p w14:paraId="2368BFEF" w14:textId="77777777" w:rsidR="009D52AA" w:rsidRDefault="00000000">
            <w:r>
              <w:rPr>
                <w:b/>
                <w:bCs/>
              </w:rPr>
              <w:t>(Recorded Portion of Call):</w:t>
            </w:r>
            <w:r>
              <w:t xml:space="preserve"> Peter states, </w:t>
            </w:r>
            <w:r>
              <w:rPr>
                <w:b/>
                <w:bCs/>
              </w:rPr>
              <w:t>“Okay. Let me have a conversation at 11 tomorrow, and I’ll let you know after that.”</w:t>
            </w:r>
          </w:p>
        </w:tc>
        <w:tc>
          <w:tcPr>
            <w:tcW w:w="2640" w:type="dxa"/>
          </w:tcPr>
          <w:p w14:paraId="0497F58A" w14:textId="77777777" w:rsidR="009D52AA" w:rsidRDefault="00000000">
            <w:r>
              <w:rPr>
                <w:b/>
                <w:bCs/>
              </w:rPr>
              <w:t>Exhibit D</w:t>
            </w:r>
          </w:p>
        </w:tc>
      </w:tr>
      <w:tr w:rsidR="009D52AA" w14:paraId="2B156285" w14:textId="77777777">
        <w:tblPrEx>
          <w:tblCellMar>
            <w:top w:w="0" w:type="dxa"/>
            <w:bottom w:w="0" w:type="dxa"/>
          </w:tblCellMar>
        </w:tblPrEx>
        <w:tc>
          <w:tcPr>
            <w:tcW w:w="2640" w:type="dxa"/>
          </w:tcPr>
          <w:p w14:paraId="02929890" w14:textId="77777777" w:rsidR="009D52AA" w:rsidRDefault="00000000">
            <w:r>
              <w:rPr>
                <w:b/>
                <w:bCs/>
              </w:rPr>
              <w:t>Apr 7, 2026</w:t>
            </w:r>
          </w:p>
        </w:tc>
        <w:tc>
          <w:tcPr>
            <w:tcW w:w="2640" w:type="dxa"/>
          </w:tcPr>
          <w:p w14:paraId="4CF36EA1" w14:textId="77777777" w:rsidR="009D52AA" w:rsidRDefault="00000000">
            <w:r>
              <w:t xml:space="preserve">At 11:00 AM, Peter consults with Andy Nestrick. Shortly after, he terminates the deal, stating, </w:t>
            </w:r>
            <w:r>
              <w:rPr>
                <w:b/>
                <w:bCs/>
              </w:rPr>
              <w:t>“Honestly Kristi it goes back to the kids, I don’t want to have kids in the home.”</w:t>
            </w:r>
            <w:r>
              <w:t xml:space="preserve"> When asked why he was concerned about being </w:t>
            </w:r>
            <w:r>
              <w:lastRenderedPageBreak/>
              <w:t xml:space="preserve">sued, he replied, </w:t>
            </w:r>
            <w:r>
              <w:rPr>
                <w:b/>
                <w:bCs/>
              </w:rPr>
              <w:t>“It is because of the kids.”</w:t>
            </w:r>
          </w:p>
        </w:tc>
        <w:tc>
          <w:tcPr>
            <w:tcW w:w="2640" w:type="dxa"/>
          </w:tcPr>
          <w:p w14:paraId="31E7F7AC" w14:textId="77777777" w:rsidR="009D52AA" w:rsidRDefault="00000000">
            <w:r>
              <w:lastRenderedPageBreak/>
              <w:t>Exhibit E</w:t>
            </w:r>
          </w:p>
        </w:tc>
      </w:tr>
      <w:tr w:rsidR="009D52AA" w14:paraId="3CB5E5C1" w14:textId="77777777">
        <w:tblPrEx>
          <w:tblCellMar>
            <w:top w:w="0" w:type="dxa"/>
            <w:bottom w:w="0" w:type="dxa"/>
          </w:tblCellMar>
        </w:tblPrEx>
        <w:tc>
          <w:tcPr>
            <w:tcW w:w="2640" w:type="dxa"/>
          </w:tcPr>
          <w:p w14:paraId="6E714468" w14:textId="77777777" w:rsidR="009D52AA" w:rsidRDefault="00000000">
            <w:r>
              <w:rPr>
                <w:b/>
                <w:bCs/>
              </w:rPr>
              <w:t>Apr 8, 2026</w:t>
            </w:r>
          </w:p>
        </w:tc>
        <w:tc>
          <w:tcPr>
            <w:tcW w:w="2640" w:type="dxa"/>
          </w:tcPr>
          <w:p w14:paraId="0A5A3D8D" w14:textId="77777777" w:rsidR="009D52AA" w:rsidRDefault="00000000">
            <w:r>
              <w:t>Tenant Lindi confirms Peter called and told her she “didn’t have to move now.”</w:t>
            </w:r>
          </w:p>
        </w:tc>
        <w:tc>
          <w:tcPr>
            <w:tcW w:w="2640" w:type="dxa"/>
          </w:tcPr>
          <w:p w14:paraId="42F7EFC3" w14:textId="77777777" w:rsidR="009D52AA" w:rsidRDefault="00000000">
            <w:r>
              <w:t>Exhibits E, F</w:t>
            </w:r>
          </w:p>
        </w:tc>
      </w:tr>
      <w:tr w:rsidR="009D52AA" w14:paraId="439EAB32" w14:textId="77777777">
        <w:tblPrEx>
          <w:tblCellMar>
            <w:top w:w="0" w:type="dxa"/>
            <w:bottom w:w="0" w:type="dxa"/>
          </w:tblCellMar>
        </w:tblPrEx>
        <w:tc>
          <w:tcPr>
            <w:tcW w:w="2640" w:type="dxa"/>
          </w:tcPr>
          <w:p w14:paraId="293BF5C1" w14:textId="77777777" w:rsidR="009D52AA" w:rsidRDefault="00000000">
            <w:r>
              <w:rPr>
                <w:b/>
                <w:bCs/>
              </w:rPr>
              <w:t>RETALIATION TIMELINE</w:t>
            </w:r>
          </w:p>
        </w:tc>
        <w:tc>
          <w:tcPr>
            <w:tcW w:w="2640" w:type="dxa"/>
          </w:tcPr>
          <w:p w14:paraId="7C4FC261" w14:textId="77777777" w:rsidR="009D52AA" w:rsidRDefault="009D52AA"/>
        </w:tc>
        <w:tc>
          <w:tcPr>
            <w:tcW w:w="2640" w:type="dxa"/>
          </w:tcPr>
          <w:p w14:paraId="1AE0F834" w14:textId="77777777" w:rsidR="009D52AA" w:rsidRDefault="009D52AA"/>
        </w:tc>
      </w:tr>
      <w:tr w:rsidR="009D52AA" w14:paraId="20B6C406" w14:textId="77777777">
        <w:tblPrEx>
          <w:tblCellMar>
            <w:top w:w="0" w:type="dxa"/>
            <w:bottom w:w="0" w:type="dxa"/>
          </w:tblCellMar>
        </w:tblPrEx>
        <w:tc>
          <w:tcPr>
            <w:tcW w:w="2640" w:type="dxa"/>
          </w:tcPr>
          <w:p w14:paraId="391A81DE" w14:textId="77777777" w:rsidR="009D52AA" w:rsidRDefault="00000000">
            <w:r>
              <w:rPr>
                <w:b/>
                <w:bCs/>
              </w:rPr>
              <w:t>Apr 10, 2026</w:t>
            </w:r>
          </w:p>
        </w:tc>
        <w:tc>
          <w:tcPr>
            <w:tcW w:w="2640" w:type="dxa"/>
          </w:tcPr>
          <w:p w14:paraId="48F50048" w14:textId="77777777" w:rsidR="009D52AA" w:rsidRDefault="00000000">
            <w:r>
              <w:t>Helds file an Emergency Motion for Expedited Discovery and a Temporary Protective Order (TPO) in their civil tort claim against SKO.</w:t>
            </w:r>
          </w:p>
        </w:tc>
        <w:tc>
          <w:tcPr>
            <w:tcW w:w="2640" w:type="dxa"/>
          </w:tcPr>
          <w:p w14:paraId="7A18B3CD" w14:textId="77777777" w:rsidR="009D52AA" w:rsidRDefault="00000000">
            <w:r>
              <w:t>Court Filings</w:t>
            </w:r>
          </w:p>
        </w:tc>
      </w:tr>
      <w:tr w:rsidR="009D52AA" w14:paraId="6482818A" w14:textId="77777777">
        <w:tblPrEx>
          <w:tblCellMar>
            <w:top w:w="0" w:type="dxa"/>
            <w:bottom w:w="0" w:type="dxa"/>
          </w:tblCellMar>
        </w:tblPrEx>
        <w:tc>
          <w:tcPr>
            <w:tcW w:w="2640" w:type="dxa"/>
          </w:tcPr>
          <w:p w14:paraId="1E8ADA19" w14:textId="77777777" w:rsidR="009D52AA" w:rsidRDefault="00000000">
            <w:r>
              <w:rPr>
                <w:b/>
                <w:bCs/>
              </w:rPr>
              <w:t>Apr 16, 2026</w:t>
            </w:r>
          </w:p>
        </w:tc>
        <w:tc>
          <w:tcPr>
            <w:tcW w:w="2640" w:type="dxa"/>
          </w:tcPr>
          <w:p w14:paraId="4FDDA23C" w14:textId="77777777" w:rsidR="009D52AA" w:rsidRDefault="00000000">
            <w:r>
              <w:t>Helds refile the motion. Judge Murrie sets a hearing date for June 5, 2026.</w:t>
            </w:r>
          </w:p>
        </w:tc>
        <w:tc>
          <w:tcPr>
            <w:tcW w:w="2640" w:type="dxa"/>
          </w:tcPr>
          <w:p w14:paraId="04A5B7A2" w14:textId="77777777" w:rsidR="009D52AA" w:rsidRDefault="00000000">
            <w:r>
              <w:t>Court Filings</w:t>
            </w:r>
          </w:p>
        </w:tc>
      </w:tr>
      <w:tr w:rsidR="009D52AA" w14:paraId="18F40580" w14:textId="77777777">
        <w:tblPrEx>
          <w:tblCellMar>
            <w:top w:w="0" w:type="dxa"/>
            <w:bottom w:w="0" w:type="dxa"/>
          </w:tblCellMar>
        </w:tblPrEx>
        <w:tc>
          <w:tcPr>
            <w:tcW w:w="2640" w:type="dxa"/>
          </w:tcPr>
          <w:p w14:paraId="7DB0741B" w14:textId="77777777" w:rsidR="009D52AA" w:rsidRDefault="00000000">
            <w:r>
              <w:rPr>
                <w:b/>
                <w:bCs/>
              </w:rPr>
              <w:t>Apr 20, 2026</w:t>
            </w:r>
          </w:p>
        </w:tc>
        <w:tc>
          <w:tcPr>
            <w:tcW w:w="2640" w:type="dxa"/>
          </w:tcPr>
          <w:p w14:paraId="75631C01" w14:textId="77777777" w:rsidR="009D52AA" w:rsidRDefault="00000000">
            <w:r>
              <w:rPr>
                <w:b/>
                <w:bCs/>
              </w:rPr>
              <w:t>Service of the motion is officially issued to all parties, including SKO.</w:t>
            </w:r>
          </w:p>
        </w:tc>
        <w:tc>
          <w:tcPr>
            <w:tcW w:w="2640" w:type="dxa"/>
          </w:tcPr>
          <w:p w14:paraId="7636374A" w14:textId="77777777" w:rsidR="009D52AA" w:rsidRDefault="00000000">
            <w:r>
              <w:t>Court Filings</w:t>
            </w:r>
          </w:p>
        </w:tc>
      </w:tr>
      <w:tr w:rsidR="009D52AA" w14:paraId="3A5CE6DF" w14:textId="77777777">
        <w:tblPrEx>
          <w:tblCellMar>
            <w:top w:w="0" w:type="dxa"/>
            <w:bottom w:w="0" w:type="dxa"/>
          </w:tblCellMar>
        </w:tblPrEx>
        <w:tc>
          <w:tcPr>
            <w:tcW w:w="2640" w:type="dxa"/>
          </w:tcPr>
          <w:p w14:paraId="6483BD77" w14:textId="77777777" w:rsidR="009D52AA" w:rsidRDefault="00000000">
            <w:r>
              <w:rPr>
                <w:b/>
                <w:bCs/>
              </w:rPr>
              <w:t>Apr 23, 2026</w:t>
            </w:r>
          </w:p>
        </w:tc>
        <w:tc>
          <w:tcPr>
            <w:tcW w:w="2640" w:type="dxa"/>
          </w:tcPr>
          <w:p w14:paraId="2D086063" w14:textId="77777777" w:rsidR="009D52AA" w:rsidRDefault="00000000">
            <w:r>
              <w:rPr>
                <w:b/>
                <w:bCs/>
              </w:rPr>
              <w:t>(3 days after service):</w:t>
            </w:r>
            <w:r>
              <w:t xml:space="preserve"> Helds receive a demand letter from the Rudolphs’ new attorney (Jackson Kelly) demanding removal of storage units </w:t>
            </w:r>
            <w:r>
              <w:lastRenderedPageBreak/>
              <w:t>within 14 days, a direct reversal of Peter’s previous assurances they could remain until January 2027.</w:t>
            </w:r>
          </w:p>
        </w:tc>
        <w:tc>
          <w:tcPr>
            <w:tcW w:w="2640" w:type="dxa"/>
          </w:tcPr>
          <w:p w14:paraId="35668DDB" w14:textId="77777777" w:rsidR="009D52AA" w:rsidRDefault="00000000">
            <w:r>
              <w:lastRenderedPageBreak/>
              <w:t>Email Records</w:t>
            </w:r>
          </w:p>
        </w:tc>
      </w:tr>
    </w:tbl>
    <w:p w14:paraId="1911CA76" w14:textId="77777777" w:rsidR="009D52AA" w:rsidRDefault="00000000">
      <w:pPr>
        <w:pStyle w:val="Heading2"/>
      </w:pPr>
      <w:bookmarkStart w:id="7" w:name="evidence-inventory"/>
      <w:bookmarkEnd w:id="6"/>
      <w:r>
        <w:t>6. EVIDENCE INVENTORY</w:t>
      </w:r>
    </w:p>
    <w:p w14:paraId="5A90D55A" w14:textId="77777777" w:rsidR="009D52AA" w:rsidRDefault="00000000">
      <w:pPr>
        <w:numPr>
          <w:ilvl w:val="0"/>
          <w:numId w:val="8"/>
        </w:numPr>
      </w:pPr>
      <w:r>
        <w:rPr>
          <w:b/>
          <w:bCs/>
        </w:rPr>
        <w:t>Exhibit A:</w:t>
      </w:r>
      <w:r>
        <w:t xml:space="preserve"> April Email Thread (Initial Purchase Agreement &amp; “Hold Harmless” draft)</w:t>
      </w:r>
    </w:p>
    <w:p w14:paraId="0155B84A" w14:textId="77777777" w:rsidR="009D52AA" w:rsidRDefault="00000000">
      <w:pPr>
        <w:numPr>
          <w:ilvl w:val="0"/>
          <w:numId w:val="8"/>
        </w:numPr>
      </w:pPr>
      <w:r>
        <w:rPr>
          <w:b/>
          <w:bCs/>
        </w:rPr>
        <w:t>Exhibit B:</w:t>
      </w:r>
      <w:r>
        <w:t xml:space="preserve"> Revised Purchase Agreement (Helds’ final offer, April 6)</w:t>
      </w:r>
    </w:p>
    <w:p w14:paraId="508B9326" w14:textId="77777777" w:rsidR="009D52AA" w:rsidRDefault="00000000">
      <w:pPr>
        <w:numPr>
          <w:ilvl w:val="0"/>
          <w:numId w:val="8"/>
        </w:numPr>
      </w:pPr>
      <w:r>
        <w:rPr>
          <w:b/>
          <w:bCs/>
        </w:rPr>
        <w:t>Exhibit C:</w:t>
      </w:r>
      <w:r>
        <w:t xml:space="preserve"> Comprehensive Text Communication Log (57 pages)</w:t>
      </w:r>
    </w:p>
    <w:p w14:paraId="1598EF5A" w14:textId="77777777" w:rsidR="009D52AA" w:rsidRDefault="00000000">
      <w:pPr>
        <w:numPr>
          <w:ilvl w:val="0"/>
          <w:numId w:val="8"/>
        </w:numPr>
      </w:pPr>
      <w:r>
        <w:rPr>
          <w:b/>
          <w:bCs/>
        </w:rPr>
        <w:t>Exhibit D:</w:t>
      </w:r>
      <w:r>
        <w:t xml:space="preserve"> </w:t>
      </w:r>
      <w:r>
        <w:rPr>
          <w:b/>
          <w:bCs/>
        </w:rPr>
        <w:t>Partial Transcript of April 6 Recorded Call (Critically, this captures Peter’s statement about consulting his attorney at 11 AM before making a decision.)</w:t>
      </w:r>
    </w:p>
    <w:p w14:paraId="272306C5" w14:textId="77777777" w:rsidR="009D52AA" w:rsidRDefault="00000000">
      <w:pPr>
        <w:numPr>
          <w:ilvl w:val="0"/>
          <w:numId w:val="8"/>
        </w:numPr>
      </w:pPr>
      <w:r>
        <w:rPr>
          <w:b/>
          <w:bCs/>
        </w:rPr>
        <w:t>Exhibit E:</w:t>
      </w:r>
      <w:r>
        <w:t xml:space="preserve"> Plaintiffs’ Comprehensive Contemporaneous Log of Negotiations</w:t>
      </w:r>
    </w:p>
    <w:p w14:paraId="05C77A74" w14:textId="77777777" w:rsidR="009D52AA" w:rsidRDefault="00000000">
      <w:pPr>
        <w:numPr>
          <w:ilvl w:val="0"/>
          <w:numId w:val="8"/>
        </w:numPr>
      </w:pPr>
      <w:r>
        <w:rPr>
          <w:b/>
          <w:bCs/>
        </w:rPr>
        <w:t>Exhibit F:</w:t>
      </w:r>
      <w:r>
        <w:t xml:space="preserve"> Sworn Affidavit of Charles J. Held (Corroborates events from unrecorded portions of calls)</w:t>
      </w:r>
    </w:p>
    <w:p w14:paraId="50B1612C" w14:textId="77777777" w:rsidR="009D52AA" w:rsidRDefault="00000000">
      <w:pPr>
        <w:numPr>
          <w:ilvl w:val="0"/>
          <w:numId w:val="8"/>
        </w:numPr>
      </w:pPr>
      <w:r>
        <w:rPr>
          <w:b/>
          <w:bCs/>
        </w:rPr>
        <w:t>Exhibit G:</w:t>
      </w:r>
      <w:r>
        <w:t xml:space="preserve"> Term Sheet drafted by SKO (Contains the predatory “Option to Purchase”)</w:t>
      </w:r>
    </w:p>
    <w:p w14:paraId="3FE9B531" w14:textId="77777777" w:rsidR="009D52AA" w:rsidRDefault="00000000">
      <w:pPr>
        <w:numPr>
          <w:ilvl w:val="0"/>
          <w:numId w:val="8"/>
        </w:numPr>
      </w:pPr>
      <w:r>
        <w:rPr>
          <w:b/>
          <w:bCs/>
        </w:rPr>
        <w:t>Supporting Evidence:</w:t>
      </w:r>
      <w:r>
        <w:t xml:space="preserve"> Photos of text messages, preserved emails, and phone call records (dates/times/durations).</w:t>
      </w:r>
    </w:p>
    <w:p w14:paraId="03D8FB56" w14:textId="77777777" w:rsidR="009D52AA" w:rsidRDefault="00000000">
      <w:pPr>
        <w:pStyle w:val="Heading2"/>
      </w:pPr>
      <w:bookmarkStart w:id="8" w:name="legal-analysis"/>
      <w:bookmarkEnd w:id="7"/>
      <w:r>
        <w:t>7. LEGAL ANALYSIS</w:t>
      </w:r>
    </w:p>
    <w:p w14:paraId="362EC040" w14:textId="77777777" w:rsidR="009D52AA" w:rsidRDefault="00000000">
      <w:pPr>
        <w:pStyle w:val="Heading4"/>
      </w:pPr>
      <w:bookmarkStart w:id="9" w:name="Xbc68c961d986f7d2ee7e84a542cfb5ef0a32a10"/>
      <w:r>
        <w:t>A. Fair Housing Act Violation: Familial Status Discrimination (42 U.S.C. § 3604)</w:t>
      </w:r>
    </w:p>
    <w:p w14:paraId="3A921EF5" w14:textId="77777777" w:rsidR="009D52AA" w:rsidRDefault="00000000">
      <w:r>
        <w:t>This appears to be a textbook case of familial status discrimination. The evidence is both direct and circumstantial.</w:t>
      </w:r>
    </w:p>
    <w:p w14:paraId="12BA7054" w14:textId="77777777" w:rsidR="009D52AA" w:rsidRDefault="00000000">
      <w:pPr>
        <w:numPr>
          <w:ilvl w:val="0"/>
          <w:numId w:val="9"/>
        </w:numPr>
      </w:pPr>
      <w:r>
        <w:rPr>
          <w:b/>
          <w:bCs/>
        </w:rPr>
        <w:lastRenderedPageBreak/>
        <w:t>Direct Evidence:</w:t>
      </w:r>
      <w:r>
        <w:t xml:space="preserve"> Peter Rudolph’s April 7 statement, </w:t>
      </w:r>
      <w:r>
        <w:rPr>
          <w:b/>
          <w:bCs/>
        </w:rPr>
        <w:t>“Honestly Kristi it goes back to the kids, I don’t want to have kids in the home,”</w:t>
      </w:r>
      <w:r>
        <w:t xml:space="preserve"> is a direct, unambiguous admission of a discriminatory motive. This statement alone is sufficient to establish a prima facie case. Courts have held that such statements are “direct evidence” of discrimination, shifting the burden to the defendant to prove they would have made the same decision absent the discriminatory motive.</w:t>
      </w:r>
    </w:p>
    <w:p w14:paraId="1573F965" w14:textId="77777777" w:rsidR="009D52AA" w:rsidRDefault="00000000">
      <w:pPr>
        <w:numPr>
          <w:ilvl w:val="0"/>
          <w:numId w:val="9"/>
        </w:numPr>
      </w:pPr>
      <w:r>
        <w:rPr>
          <w:b/>
          <w:bCs/>
        </w:rPr>
        <w:t>Disparate Treatment (Circumstantial Evidence):</w:t>
      </w:r>
      <w:r>
        <w:t xml:space="preserve"> The “Hold Harmless” clause was applied only to the Helds, a family with children. Peter admitted that the current tenant, Lindi (who also has children), was not required to sign such a waiver, nor had any previous tenants. This differential treatment based on familial status is powerful evidence of pretext. The stated “safety” concern is undermined by the fact it was not a concern with other families.</w:t>
      </w:r>
    </w:p>
    <w:p w14:paraId="1D3357FB" w14:textId="77777777" w:rsidR="009D52AA" w:rsidRDefault="00000000">
      <w:pPr>
        <w:numPr>
          <w:ilvl w:val="0"/>
          <w:numId w:val="9"/>
        </w:numPr>
      </w:pPr>
      <w:r>
        <w:rPr>
          <w:b/>
          <w:bCs/>
        </w:rPr>
        <w:t>Pretext:</w:t>
      </w:r>
      <w:r>
        <w:t xml:space="preserve"> The seller’s justification for the Hold Harmless clause—protecting himself from lawsuits—is directly tied to the Helds’ children. Peter’s statements linking his fear of being sued to the presence of children, combined with the disparate application of the waiver, shows the “safety” reason was a pretext for illegal discrimination.</w:t>
      </w:r>
    </w:p>
    <w:p w14:paraId="55C30C2D" w14:textId="77777777" w:rsidR="009D52AA" w:rsidRDefault="00000000">
      <w:pPr>
        <w:pStyle w:val="Heading4"/>
      </w:pPr>
      <w:bookmarkStart w:id="10" w:name="b.-tortious-interference-with-contract"/>
      <w:bookmarkEnd w:id="9"/>
      <w:r>
        <w:t>B. Tortious Interference with Contract</w:t>
      </w:r>
    </w:p>
    <w:p w14:paraId="36B70BF1" w14:textId="77777777" w:rsidR="009D52AA" w:rsidRDefault="00000000">
      <w:r>
        <w:t>The evidence strongly suggests that Andy Nestrick and SKO intentionally interfered with the purchase agreement between the Helds and Rudolphs. The elements are met:</w:t>
      </w:r>
    </w:p>
    <w:p w14:paraId="2751DE1D" w14:textId="77777777" w:rsidR="009D52AA" w:rsidRDefault="00000000">
      <w:pPr>
        <w:numPr>
          <w:ilvl w:val="0"/>
          <w:numId w:val="10"/>
        </w:numPr>
      </w:pPr>
      <w:r>
        <w:rPr>
          <w:b/>
          <w:bCs/>
        </w:rPr>
        <w:t>Existence of a Valid Relationship:</w:t>
      </w:r>
      <w:r>
        <w:t xml:space="preserve"> The parties had a meeting of the minds and a written purchase agreement was submitted and under final review.</w:t>
      </w:r>
    </w:p>
    <w:p w14:paraId="0AC2D5E8" w14:textId="77777777" w:rsidR="009D52AA" w:rsidRDefault="00000000">
      <w:pPr>
        <w:numPr>
          <w:ilvl w:val="0"/>
          <w:numId w:val="10"/>
        </w:numPr>
      </w:pPr>
      <w:r>
        <w:rPr>
          <w:b/>
          <w:bCs/>
        </w:rPr>
        <w:t>Interferer’s Knowledge:</w:t>
      </w:r>
      <w:r>
        <w:t xml:space="preserve"> Nestrick was the Rudolphs’ long-time attorney and was actively consulted on and drafted terms for the transaction.</w:t>
      </w:r>
    </w:p>
    <w:p w14:paraId="6F94D0D0" w14:textId="77777777" w:rsidR="009D52AA" w:rsidRDefault="00000000">
      <w:pPr>
        <w:numPr>
          <w:ilvl w:val="0"/>
          <w:numId w:val="10"/>
        </w:numPr>
      </w:pPr>
      <w:r>
        <w:rPr>
          <w:b/>
          <w:bCs/>
        </w:rPr>
        <w:t>Intentional &amp; Unjustified Interference:</w:t>
      </w:r>
      <w:r>
        <w:t xml:space="preserve"> Nestrick’s interference was unjustified because it was motivated by improper means:</w:t>
      </w:r>
    </w:p>
    <w:p w14:paraId="3B1BA9DC" w14:textId="77777777" w:rsidR="009D52AA" w:rsidRDefault="00000000">
      <w:pPr>
        <w:numPr>
          <w:ilvl w:val="1"/>
          <w:numId w:val="11"/>
        </w:numPr>
      </w:pPr>
      <w:r>
        <w:rPr>
          <w:b/>
          <w:bCs/>
        </w:rPr>
        <w:lastRenderedPageBreak/>
        <w:t>Bad Faith Drafting:</w:t>
      </w:r>
      <w:r>
        <w:t xml:space="preserve"> He introduced predatory terms (the “Option to Purchase”) and later the discriminatory “Hold Harmless” clause.</w:t>
      </w:r>
    </w:p>
    <w:p w14:paraId="2F501EC9" w14:textId="77777777" w:rsidR="009D52AA" w:rsidRDefault="00000000">
      <w:pPr>
        <w:numPr>
          <w:ilvl w:val="1"/>
          <w:numId w:val="11"/>
        </w:numPr>
      </w:pPr>
      <w:r>
        <w:rPr>
          <w:b/>
          <w:bCs/>
        </w:rPr>
        <w:t>Breach of Confidentiality:</w:t>
      </w:r>
      <w:r>
        <w:t xml:space="preserve"> He appears to have used knowledge of the Helds’ nephew (gained from his position as defense counsel in the tort claim) to inflame his client’s fears about children and liability.</w:t>
      </w:r>
    </w:p>
    <w:p w14:paraId="2FB9D1E6" w14:textId="77777777" w:rsidR="009D52AA" w:rsidRDefault="00000000">
      <w:pPr>
        <w:numPr>
          <w:ilvl w:val="0"/>
          <w:numId w:val="10"/>
        </w:numPr>
      </w:pPr>
      <w:r>
        <w:rPr>
          <w:b/>
          <w:bCs/>
        </w:rPr>
        <w:t>Causation &amp; Damage:</w:t>
      </w:r>
      <w:r>
        <w:t xml:space="preserve"> The deal collapsed </w:t>
      </w:r>
      <w:r>
        <w:rPr>
          <w:i/>
          <w:iCs/>
        </w:rPr>
        <w:t>immediately</w:t>
      </w:r>
      <w:r>
        <w:t xml:space="preserve"> after Peter’s final consultation with Nestrick on April 7, causing the Helds to lose the property.</w:t>
      </w:r>
    </w:p>
    <w:p w14:paraId="06B625F9" w14:textId="77777777" w:rsidR="009D52AA" w:rsidRDefault="00000000">
      <w:pPr>
        <w:pStyle w:val="Heading4"/>
      </w:pPr>
      <w:bookmarkStart w:id="11" w:name="X0157dd35d53d5ac7c4e0a16c7bd63c225de2e8a"/>
      <w:bookmarkEnd w:id="10"/>
      <w:r>
        <w:t>C. Attorney Liability &amp; Professional Misconduct (Stoll Keenon Ogden)</w:t>
      </w:r>
    </w:p>
    <w:p w14:paraId="14DB6487" w14:textId="77777777" w:rsidR="009D52AA" w:rsidRDefault="00000000">
      <w:r>
        <w:t>While attorneys are generally shielded when providing legal advice, Nestrick’s actions exceed this protection. He can be held liable for actively participating in and facilitating a discriminatory scheme.</w:t>
      </w:r>
    </w:p>
    <w:p w14:paraId="3FAC42D2" w14:textId="77777777" w:rsidR="009D52AA" w:rsidRDefault="00000000">
      <w:pPr>
        <w:numPr>
          <w:ilvl w:val="0"/>
          <w:numId w:val="12"/>
        </w:numPr>
      </w:pPr>
      <w:r>
        <w:rPr>
          <w:b/>
          <w:bCs/>
        </w:rPr>
        <w:t>Active Participation:</w:t>
      </w:r>
      <w:r>
        <w:t xml:space="preserve"> Nestrick was not a passive advisor. He drafted the specific, problematic language (the “Option” and the “Hold Harmless”) that was used to create barriers and ultimately terminate the sale.</w:t>
      </w:r>
    </w:p>
    <w:p w14:paraId="4E8C3978" w14:textId="77777777" w:rsidR="009D52AA" w:rsidRDefault="00000000">
      <w:pPr>
        <w:numPr>
          <w:ilvl w:val="0"/>
          <w:numId w:val="12"/>
        </w:numPr>
      </w:pPr>
      <w:r>
        <w:rPr>
          <w:b/>
          <w:bCs/>
        </w:rPr>
        <w:t>Aiding and Abetting:</w:t>
      </w:r>
      <w:r>
        <w:t xml:space="preserve"> By providing the legal architecture for the discrimination (the waiver) and the justification (disclosing confidential litigation info), he aided and abetted the Rudolphs’ Fair Housing violation.</w:t>
      </w:r>
    </w:p>
    <w:p w14:paraId="74859FDC" w14:textId="77777777" w:rsidR="009D52AA" w:rsidRDefault="00000000">
      <w:pPr>
        <w:numPr>
          <w:ilvl w:val="0"/>
          <w:numId w:val="12"/>
        </w:numPr>
      </w:pPr>
      <w:r>
        <w:rPr>
          <w:b/>
          <w:bCs/>
        </w:rPr>
        <w:t>Breach of Confidentiality (Rule 1.6):</w:t>
      </w:r>
      <w:r>
        <w:t xml:space="preserve"> The only plausible way Peter Rudolph knew about the sensitive details of the Helds’ deceased nephew was if Nestrick, his attorney and the Helds’ legal adversary, disclosed it. This is a severe ethical breach.</w:t>
      </w:r>
    </w:p>
    <w:p w14:paraId="4552B102" w14:textId="77777777" w:rsidR="009D52AA" w:rsidRDefault="00000000">
      <w:pPr>
        <w:pStyle w:val="Heading4"/>
      </w:pPr>
      <w:bookmarkStart w:id="12" w:name="d.-retaliation-42-u.s.c.-3617"/>
      <w:bookmarkEnd w:id="11"/>
      <w:r>
        <w:t>D. Retaliation (42 U.S.C. § 3617)</w:t>
      </w:r>
    </w:p>
    <w:p w14:paraId="105D7DC2" w14:textId="77777777" w:rsidR="009D52AA" w:rsidRDefault="00000000">
      <w:r>
        <w:t>This is a separate and distinct violation of the Fair Housing Act, which makes it unlawful to “coerce, intimidate, threaten, or interfere with any person in the exercise or enjoyment of…any right granted or protected.” The elements are clearly met:</w:t>
      </w:r>
    </w:p>
    <w:p w14:paraId="6DAE41C2" w14:textId="77777777" w:rsidR="009D52AA" w:rsidRDefault="00000000">
      <w:pPr>
        <w:numPr>
          <w:ilvl w:val="0"/>
          <w:numId w:val="13"/>
        </w:numPr>
      </w:pPr>
      <w:r>
        <w:rPr>
          <w:b/>
          <w:bCs/>
        </w:rPr>
        <w:lastRenderedPageBreak/>
        <w:t>Protected Activity:</w:t>
      </w:r>
      <w:r>
        <w:t xml:space="preserve"> The Helds filed a motion on April 10 seeking a TPO and to depose the Rudolphs as witnesses in their case against SKO.</w:t>
      </w:r>
    </w:p>
    <w:p w14:paraId="511D97DA" w14:textId="77777777" w:rsidR="009D52AA" w:rsidRDefault="00000000">
      <w:pPr>
        <w:numPr>
          <w:ilvl w:val="0"/>
          <w:numId w:val="13"/>
        </w:numPr>
      </w:pPr>
      <w:r>
        <w:rPr>
          <w:b/>
          <w:bCs/>
        </w:rPr>
        <w:t>Adverse Action:</w:t>
      </w:r>
      <w:r>
        <w:t xml:space="preserve"> On April 23, the Rudolphs, through new counsel, took adverse action by demanding the removal of storage units within 14 days, a stark reversal of Peter’s earlier, casual permission for them to remain until “January of ’27.”</w:t>
      </w:r>
    </w:p>
    <w:p w14:paraId="77576115" w14:textId="77777777" w:rsidR="009D52AA" w:rsidRDefault="00000000">
      <w:pPr>
        <w:numPr>
          <w:ilvl w:val="0"/>
          <w:numId w:val="13"/>
        </w:numPr>
      </w:pPr>
      <w:r>
        <w:rPr>
          <w:b/>
          <w:bCs/>
        </w:rPr>
        <w:t>Causal Connection:</w:t>
      </w:r>
      <w:r>
        <w:t xml:space="preserve"> The adverse action occurred </w:t>
      </w:r>
      <w:r>
        <w:rPr>
          <w:b/>
          <w:bCs/>
        </w:rPr>
        <w:t>just three (3) days after SKO was served</w:t>
      </w:r>
      <w:r>
        <w:t xml:space="preserve"> with the motion. This “temporal proximity” is so close that it creates a strong presumption of retaliatory intent. It is highly probable that SKO informed the Rudolphs of the motion, prompting the retaliatory demand letter.</w:t>
      </w:r>
    </w:p>
    <w:p w14:paraId="6E344921" w14:textId="77777777" w:rsidR="009D52AA" w:rsidRDefault="00000000">
      <w:pPr>
        <w:pStyle w:val="Heading4"/>
      </w:pPr>
      <w:bookmarkStart w:id="13" w:name="X421d63a16ef48c6e30c312afac6050496b4a4e0"/>
      <w:bookmarkEnd w:id="12"/>
      <w:r>
        <w:t>E. Conflict of Interest (Indiana Rule of Professional Conduct 1.7)</w:t>
      </w:r>
    </w:p>
    <w:p w14:paraId="66E66368" w14:textId="77777777" w:rsidR="009D52AA" w:rsidRDefault="00000000">
      <w:r>
        <w:t xml:space="preserve">Nestrick’s conduct presents a non-consentable conflict of interest. He represented Peter Rudolph in a real estate transaction </w:t>
      </w:r>
      <w:r>
        <w:rPr>
          <w:i/>
          <w:iCs/>
        </w:rPr>
        <w:t>against</w:t>
      </w:r>
      <w:r>
        <w:t xml:space="preserve"> Kristi Held, while his firm (SKO) was simultaneously a named defendant in a lawsuit where Kristi Held was a plaintiff. An attorney cannot be adverse to a party in litigation while simultaneously facilitating a transaction with that same party on behalf of another client. His duty of loyalty to Rudolph was inherently compromised by his own personal and financial interest in the outcome of the litigation with the Helds.</w:t>
      </w:r>
    </w:p>
    <w:p w14:paraId="2F8086B1" w14:textId="77777777" w:rsidR="009D52AA" w:rsidRDefault="00000000">
      <w:pPr>
        <w:pStyle w:val="Heading2"/>
      </w:pPr>
      <w:bookmarkStart w:id="14" w:name="Xcd460d2fd2143c8c3e549b7ab69cdc03c23302a"/>
      <w:bookmarkEnd w:id="8"/>
      <w:bookmarkEnd w:id="13"/>
      <w:r>
        <w:t>8. PROPOSED STATEMENT FOR JUDGE MURRIE (Re: Motion for TPO &amp; Expedited Discovery)</w:t>
      </w:r>
    </w:p>
    <w:p w14:paraId="70BBFC14" w14:textId="77777777" w:rsidR="009D52AA" w:rsidRDefault="00000000">
      <w:r>
        <w:t>Your Honor, we are before the Court today on our motion for a temporary protective order and expedited discovery not to be vexatious, but to protect fundamental rights and preserve the integrity of the judicial process. This motion was necessitated by a clear and immediate pattern of interference and retaliation that began the moment the Defendants were put on notice of these proceedings.</w:t>
      </w:r>
    </w:p>
    <w:p w14:paraId="76C28BEA" w14:textId="77777777" w:rsidR="009D52AA" w:rsidRDefault="00000000">
      <w:pPr>
        <w:pStyle w:val="BodyText"/>
      </w:pPr>
      <w:r>
        <w:lastRenderedPageBreak/>
        <w:t>The evidence will show that this is not merely a contract dispute. It is a case involving direct violations of the federal Fair Housing Act. The non-party witnesses we seek to depose, the Rudolphs, are central to these claims. We had a fully negotiated agreement to purchase a home from them, which they terminated, in their own words, because we have children.</w:t>
      </w:r>
    </w:p>
    <w:p w14:paraId="207E8B91" w14:textId="77777777" w:rsidR="009D52AA" w:rsidRDefault="00000000">
      <w:pPr>
        <w:pStyle w:val="BodyText"/>
      </w:pPr>
      <w:r>
        <w:t xml:space="preserve">Our concern, and the reason for this emergency motion, is what happened immediately after we sought the Court’s intervention. We filed our motion for this protective order on April 10th. The Defendants, including the law firm Stoll Keenon Ogden, were served on April 20th. Just </w:t>
      </w:r>
      <w:r>
        <w:rPr>
          <w:b/>
          <w:bCs/>
        </w:rPr>
        <w:t>three days later</w:t>
      </w:r>
      <w:r>
        <w:t>, on April 23rd, the Rudolphs took retaliatory action against us, completely reversing a long-standing agreement about personal property we had on their land.</w:t>
      </w:r>
    </w:p>
    <w:p w14:paraId="31BD0162" w14:textId="77777777" w:rsidR="009D52AA" w:rsidRDefault="00000000">
      <w:pPr>
        <w:pStyle w:val="BodyText"/>
      </w:pPr>
      <w:r>
        <w:t>Your Honor, this three-day turnaround creates a powerful and deeply concerning inference: that upon receiving notice that the Rudolphs would be deposed as material witnesses, Defendants’ counsel communicated with them, leading to a direct, punitive action against my family. The delay in hearing this motion has already allowed for this retaliation to occur. Any further delay risks the permanent “poisoning” of witness testimony.</w:t>
      </w:r>
    </w:p>
    <w:p w14:paraId="3AEADFEC" w14:textId="77777777" w:rsidR="009D52AA" w:rsidRDefault="00000000">
      <w:pPr>
        <w:pStyle w:val="BodyText"/>
      </w:pPr>
      <w:r>
        <w:t>We are respectfully asking the Court to grant the protective order to prevent any further contact between Defendants and these critical non-party witnesses. We also ask for expedited discovery to depose them now, while their recollection is fresh and before their testimony can be further influenced. This is essential to preserving the truth and ensuring a just resolution of the serious federal and state law violations at issue. Thank you.</w:t>
      </w:r>
    </w:p>
    <w:p w14:paraId="5F9D39F9" w14:textId="77777777" w:rsidR="009D52AA" w:rsidRDefault="00000000">
      <w:pPr>
        <w:pStyle w:val="Heading2"/>
      </w:pPr>
      <w:bookmarkStart w:id="15" w:name="evidence-correlation-chart"/>
      <w:bookmarkEnd w:id="14"/>
      <w:r>
        <w:t>9. EVIDENCE CORRELATION CHART</w:t>
      </w:r>
    </w:p>
    <w:tbl>
      <w:tblPr>
        <w:tblW w:w="5000" w:type="pct"/>
        <w:tblLayout w:type="fixed"/>
        <w:tblCellMar>
          <w:left w:w="10" w:type="dxa"/>
          <w:right w:w="10" w:type="dxa"/>
        </w:tblCellMar>
        <w:tblLook w:val="0020" w:firstRow="1" w:lastRow="0" w:firstColumn="0" w:lastColumn="0" w:noHBand="0" w:noVBand="0"/>
      </w:tblPr>
      <w:tblGrid>
        <w:gridCol w:w="3008"/>
        <w:gridCol w:w="3009"/>
        <w:gridCol w:w="3009"/>
      </w:tblGrid>
      <w:tr w:rsidR="009D52AA" w14:paraId="211B8AC3" w14:textId="77777777">
        <w:tblPrEx>
          <w:tblCellMar>
            <w:top w:w="0" w:type="dxa"/>
            <w:bottom w:w="0" w:type="dxa"/>
          </w:tblCellMar>
        </w:tblPrEx>
        <w:trPr>
          <w:tblHeader/>
        </w:trPr>
        <w:tc>
          <w:tcPr>
            <w:tcW w:w="2640" w:type="dxa"/>
          </w:tcPr>
          <w:p w14:paraId="2DC5EC1C" w14:textId="77777777" w:rsidR="009D52AA" w:rsidRDefault="00000000">
            <w:r>
              <w:rPr>
                <w:b/>
                <w:bCs/>
              </w:rPr>
              <w:t>Legal Claim</w:t>
            </w:r>
          </w:p>
        </w:tc>
        <w:tc>
          <w:tcPr>
            <w:tcW w:w="2640" w:type="dxa"/>
          </w:tcPr>
          <w:p w14:paraId="1CFFC22B" w14:textId="77777777" w:rsidR="009D52AA" w:rsidRDefault="00000000">
            <w:r>
              <w:rPr>
                <w:b/>
                <w:bCs/>
              </w:rPr>
              <w:t>Key Evidence</w:t>
            </w:r>
          </w:p>
        </w:tc>
        <w:tc>
          <w:tcPr>
            <w:tcW w:w="2640" w:type="dxa"/>
          </w:tcPr>
          <w:p w14:paraId="1AC8B6DA" w14:textId="77777777" w:rsidR="009D52AA" w:rsidRDefault="00000000">
            <w:r>
              <w:rPr>
                <w:b/>
                <w:bCs/>
              </w:rPr>
              <w:t>Source(s)</w:t>
            </w:r>
          </w:p>
        </w:tc>
      </w:tr>
      <w:tr w:rsidR="009D52AA" w14:paraId="208C747E" w14:textId="77777777">
        <w:tblPrEx>
          <w:tblCellMar>
            <w:top w:w="0" w:type="dxa"/>
            <w:bottom w:w="0" w:type="dxa"/>
          </w:tblCellMar>
        </w:tblPrEx>
        <w:tc>
          <w:tcPr>
            <w:tcW w:w="2640" w:type="dxa"/>
          </w:tcPr>
          <w:p w14:paraId="38A70BD8" w14:textId="77777777" w:rsidR="009D52AA" w:rsidRDefault="00000000">
            <w:r>
              <w:rPr>
                <w:b/>
                <w:bCs/>
              </w:rPr>
              <w:t>Fair Housing Violation</w:t>
            </w:r>
          </w:p>
        </w:tc>
        <w:tc>
          <w:tcPr>
            <w:tcW w:w="2640" w:type="dxa"/>
          </w:tcPr>
          <w:p w14:paraId="7B7E2F5D" w14:textId="77777777" w:rsidR="009D52AA" w:rsidRDefault="00000000">
            <w:r>
              <w:t>“I don’t want kids in the home” admission</w:t>
            </w:r>
          </w:p>
        </w:tc>
        <w:tc>
          <w:tcPr>
            <w:tcW w:w="2640" w:type="dxa"/>
          </w:tcPr>
          <w:p w14:paraId="32EBF115" w14:textId="77777777" w:rsidR="009D52AA" w:rsidRDefault="00000000">
            <w:r>
              <w:t>Exhibit E</w:t>
            </w:r>
          </w:p>
        </w:tc>
      </w:tr>
      <w:tr w:rsidR="009D52AA" w14:paraId="018A0E98" w14:textId="77777777">
        <w:tblPrEx>
          <w:tblCellMar>
            <w:top w:w="0" w:type="dxa"/>
            <w:bottom w:w="0" w:type="dxa"/>
          </w:tblCellMar>
        </w:tblPrEx>
        <w:tc>
          <w:tcPr>
            <w:tcW w:w="2640" w:type="dxa"/>
          </w:tcPr>
          <w:p w14:paraId="475DD2A6" w14:textId="77777777" w:rsidR="009D52AA" w:rsidRDefault="009D52AA"/>
        </w:tc>
        <w:tc>
          <w:tcPr>
            <w:tcW w:w="2640" w:type="dxa"/>
          </w:tcPr>
          <w:p w14:paraId="75671214" w14:textId="77777777" w:rsidR="009D52AA" w:rsidRDefault="00000000">
            <w:r>
              <w:t>Disparate application of “Hold Harmless” waiver (Lindi vs. Helds)</w:t>
            </w:r>
          </w:p>
        </w:tc>
        <w:tc>
          <w:tcPr>
            <w:tcW w:w="2640" w:type="dxa"/>
          </w:tcPr>
          <w:p w14:paraId="0E2D7910" w14:textId="77777777" w:rsidR="009D52AA" w:rsidRDefault="00000000">
            <w:r>
              <w:t>Exhibits E, F</w:t>
            </w:r>
          </w:p>
        </w:tc>
      </w:tr>
      <w:tr w:rsidR="009D52AA" w14:paraId="684658B2" w14:textId="77777777">
        <w:tblPrEx>
          <w:tblCellMar>
            <w:top w:w="0" w:type="dxa"/>
            <w:bottom w:w="0" w:type="dxa"/>
          </w:tblCellMar>
        </w:tblPrEx>
        <w:tc>
          <w:tcPr>
            <w:tcW w:w="2640" w:type="dxa"/>
          </w:tcPr>
          <w:p w14:paraId="285E7E0A" w14:textId="77777777" w:rsidR="009D52AA" w:rsidRDefault="009D52AA"/>
        </w:tc>
        <w:tc>
          <w:tcPr>
            <w:tcW w:w="2640" w:type="dxa"/>
          </w:tcPr>
          <w:p w14:paraId="4C160E8A" w14:textId="77777777" w:rsidR="009D52AA" w:rsidRDefault="00000000">
            <w:r>
              <w:t>Peter’s admission of never using waiver on other tenants</w:t>
            </w:r>
          </w:p>
        </w:tc>
        <w:tc>
          <w:tcPr>
            <w:tcW w:w="2640" w:type="dxa"/>
          </w:tcPr>
          <w:p w14:paraId="05389F5D" w14:textId="77777777" w:rsidR="009D52AA" w:rsidRDefault="00000000">
            <w:r>
              <w:t>Exhibit E</w:t>
            </w:r>
          </w:p>
        </w:tc>
      </w:tr>
      <w:tr w:rsidR="009D52AA" w14:paraId="171A7A9D" w14:textId="77777777">
        <w:tblPrEx>
          <w:tblCellMar>
            <w:top w:w="0" w:type="dxa"/>
            <w:bottom w:w="0" w:type="dxa"/>
          </w:tblCellMar>
        </w:tblPrEx>
        <w:tc>
          <w:tcPr>
            <w:tcW w:w="2640" w:type="dxa"/>
          </w:tcPr>
          <w:p w14:paraId="6DC5A16B" w14:textId="77777777" w:rsidR="009D52AA" w:rsidRDefault="00000000">
            <w:r>
              <w:rPr>
                <w:b/>
                <w:bCs/>
              </w:rPr>
              <w:t>Tortious Interference</w:t>
            </w:r>
          </w:p>
        </w:tc>
        <w:tc>
          <w:tcPr>
            <w:tcW w:w="2640" w:type="dxa"/>
          </w:tcPr>
          <w:p w14:paraId="51CE7045" w14:textId="77777777" w:rsidR="009D52AA" w:rsidRDefault="00000000">
            <w:r>
              <w:t>SKO’s predatory “Option to Purchase” term sheet</w:t>
            </w:r>
          </w:p>
        </w:tc>
        <w:tc>
          <w:tcPr>
            <w:tcW w:w="2640" w:type="dxa"/>
          </w:tcPr>
          <w:p w14:paraId="77B5DE34" w14:textId="77777777" w:rsidR="009D52AA" w:rsidRDefault="00000000">
            <w:r>
              <w:t>Exhibit G</w:t>
            </w:r>
          </w:p>
        </w:tc>
      </w:tr>
      <w:tr w:rsidR="009D52AA" w14:paraId="5FD4834D" w14:textId="77777777">
        <w:tblPrEx>
          <w:tblCellMar>
            <w:top w:w="0" w:type="dxa"/>
            <w:bottom w:w="0" w:type="dxa"/>
          </w:tblCellMar>
        </w:tblPrEx>
        <w:tc>
          <w:tcPr>
            <w:tcW w:w="2640" w:type="dxa"/>
          </w:tcPr>
          <w:p w14:paraId="6DDE871D" w14:textId="77777777" w:rsidR="009D52AA" w:rsidRDefault="009D52AA"/>
        </w:tc>
        <w:tc>
          <w:tcPr>
            <w:tcW w:w="2640" w:type="dxa"/>
          </w:tcPr>
          <w:p w14:paraId="0CF25894" w14:textId="77777777" w:rsidR="009D52AA" w:rsidRDefault="00000000">
            <w:r>
              <w:t>Introduction of the “Hold Harmless” waiver by Peter after consulting attorney</w:t>
            </w:r>
          </w:p>
        </w:tc>
        <w:tc>
          <w:tcPr>
            <w:tcW w:w="2640" w:type="dxa"/>
          </w:tcPr>
          <w:p w14:paraId="483CCEC0" w14:textId="77777777" w:rsidR="009D52AA" w:rsidRDefault="00000000">
            <w:r>
              <w:t>Exhibits A, C</w:t>
            </w:r>
          </w:p>
        </w:tc>
      </w:tr>
      <w:tr w:rsidR="009D52AA" w14:paraId="3B720494" w14:textId="77777777">
        <w:tblPrEx>
          <w:tblCellMar>
            <w:top w:w="0" w:type="dxa"/>
            <w:bottom w:w="0" w:type="dxa"/>
          </w:tblCellMar>
        </w:tblPrEx>
        <w:tc>
          <w:tcPr>
            <w:tcW w:w="2640" w:type="dxa"/>
          </w:tcPr>
          <w:p w14:paraId="76BDFBDC" w14:textId="77777777" w:rsidR="009D52AA" w:rsidRDefault="009D52AA"/>
        </w:tc>
        <w:tc>
          <w:tcPr>
            <w:tcW w:w="2640" w:type="dxa"/>
          </w:tcPr>
          <w:p w14:paraId="71740D6C" w14:textId="77777777" w:rsidR="009D52AA" w:rsidRDefault="00000000">
            <w:r>
              <w:t>Termination of deal immediately after 11 AM call with attorney</w:t>
            </w:r>
          </w:p>
        </w:tc>
        <w:tc>
          <w:tcPr>
            <w:tcW w:w="2640" w:type="dxa"/>
          </w:tcPr>
          <w:p w14:paraId="0C33D4A9" w14:textId="77777777" w:rsidR="009D52AA" w:rsidRDefault="00000000">
            <w:r>
              <w:t>Exhibits D, E</w:t>
            </w:r>
          </w:p>
        </w:tc>
      </w:tr>
      <w:tr w:rsidR="009D52AA" w14:paraId="11683CC4" w14:textId="77777777">
        <w:tblPrEx>
          <w:tblCellMar>
            <w:top w:w="0" w:type="dxa"/>
            <w:bottom w:w="0" w:type="dxa"/>
          </w:tblCellMar>
        </w:tblPrEx>
        <w:tc>
          <w:tcPr>
            <w:tcW w:w="2640" w:type="dxa"/>
          </w:tcPr>
          <w:p w14:paraId="2026698D" w14:textId="77777777" w:rsidR="009D52AA" w:rsidRDefault="00000000">
            <w:r>
              <w:rPr>
                <w:b/>
                <w:bCs/>
              </w:rPr>
              <w:t>Attorney Misconduct</w:t>
            </w:r>
          </w:p>
        </w:tc>
        <w:tc>
          <w:tcPr>
            <w:tcW w:w="2640" w:type="dxa"/>
          </w:tcPr>
          <w:p w14:paraId="7CABFA25" w14:textId="77777777" w:rsidR="009D52AA" w:rsidRDefault="00000000">
            <w:r>
              <w:t>Peter’s knowledge of Held’s deceased nephew (confidential litigation info)</w:t>
            </w:r>
          </w:p>
        </w:tc>
        <w:tc>
          <w:tcPr>
            <w:tcW w:w="2640" w:type="dxa"/>
          </w:tcPr>
          <w:p w14:paraId="6CA858EC" w14:textId="77777777" w:rsidR="009D52AA" w:rsidRDefault="00000000">
            <w:r>
              <w:t>Exhibit E</w:t>
            </w:r>
          </w:p>
        </w:tc>
      </w:tr>
      <w:tr w:rsidR="009D52AA" w14:paraId="5747ABDB" w14:textId="77777777">
        <w:tblPrEx>
          <w:tblCellMar>
            <w:top w:w="0" w:type="dxa"/>
            <w:bottom w:w="0" w:type="dxa"/>
          </w:tblCellMar>
        </w:tblPrEx>
        <w:tc>
          <w:tcPr>
            <w:tcW w:w="2640" w:type="dxa"/>
          </w:tcPr>
          <w:p w14:paraId="66EFD563" w14:textId="77777777" w:rsidR="009D52AA" w:rsidRDefault="009D52AA"/>
        </w:tc>
        <w:tc>
          <w:tcPr>
            <w:tcW w:w="2640" w:type="dxa"/>
          </w:tcPr>
          <w:p w14:paraId="19DA1AEC" w14:textId="77777777" w:rsidR="009D52AA" w:rsidRDefault="00000000">
            <w:r>
              <w:t>Chronology of amicable negotiations turning hostile only after SKO involvement</w:t>
            </w:r>
          </w:p>
        </w:tc>
        <w:tc>
          <w:tcPr>
            <w:tcW w:w="2640" w:type="dxa"/>
          </w:tcPr>
          <w:p w14:paraId="5F478F0C" w14:textId="77777777" w:rsidR="009D52AA" w:rsidRDefault="00000000">
            <w:r>
              <w:t>Exhibits C, E, F</w:t>
            </w:r>
          </w:p>
        </w:tc>
      </w:tr>
      <w:tr w:rsidR="009D52AA" w14:paraId="2AC320F5" w14:textId="77777777">
        <w:tblPrEx>
          <w:tblCellMar>
            <w:top w:w="0" w:type="dxa"/>
            <w:bottom w:w="0" w:type="dxa"/>
          </w:tblCellMar>
        </w:tblPrEx>
        <w:tc>
          <w:tcPr>
            <w:tcW w:w="2640" w:type="dxa"/>
          </w:tcPr>
          <w:p w14:paraId="7398CAFF" w14:textId="77777777" w:rsidR="009D52AA" w:rsidRDefault="00000000">
            <w:r>
              <w:rPr>
                <w:b/>
                <w:bCs/>
              </w:rPr>
              <w:t>Retaliation</w:t>
            </w:r>
          </w:p>
        </w:tc>
        <w:tc>
          <w:tcPr>
            <w:tcW w:w="2640" w:type="dxa"/>
          </w:tcPr>
          <w:p w14:paraId="47B07BB1" w14:textId="77777777" w:rsidR="009D52AA" w:rsidRDefault="00000000">
            <w:r>
              <w:t>Timing of Jackson Kelly letter (April 23) vs. Service on SKO (April 20)</w:t>
            </w:r>
          </w:p>
        </w:tc>
        <w:tc>
          <w:tcPr>
            <w:tcW w:w="2640" w:type="dxa"/>
          </w:tcPr>
          <w:p w14:paraId="5886143C" w14:textId="77777777" w:rsidR="009D52AA" w:rsidRDefault="00000000">
            <w:r>
              <w:t>Court Filings, Emails</w:t>
            </w:r>
          </w:p>
        </w:tc>
      </w:tr>
      <w:tr w:rsidR="009D52AA" w14:paraId="6E382EF8" w14:textId="77777777">
        <w:tblPrEx>
          <w:tblCellMar>
            <w:top w:w="0" w:type="dxa"/>
            <w:bottom w:w="0" w:type="dxa"/>
          </w:tblCellMar>
        </w:tblPrEx>
        <w:tc>
          <w:tcPr>
            <w:tcW w:w="2640" w:type="dxa"/>
          </w:tcPr>
          <w:p w14:paraId="1AD424B5" w14:textId="77777777" w:rsidR="009D52AA" w:rsidRDefault="009D52AA"/>
        </w:tc>
        <w:tc>
          <w:tcPr>
            <w:tcW w:w="2640" w:type="dxa"/>
          </w:tcPr>
          <w:p w14:paraId="5790F517" w14:textId="77777777" w:rsidR="009D52AA" w:rsidRDefault="00000000">
            <w:r>
              <w:t>Peter’s prior statement that storage units were “fine” until Jan. 2027</w:t>
            </w:r>
          </w:p>
        </w:tc>
        <w:tc>
          <w:tcPr>
            <w:tcW w:w="2640" w:type="dxa"/>
          </w:tcPr>
          <w:p w14:paraId="6F175C2D" w14:textId="77777777" w:rsidR="009D52AA" w:rsidRDefault="00000000">
            <w:r>
              <w:t>Contemporaneous Notes</w:t>
            </w:r>
          </w:p>
        </w:tc>
      </w:tr>
    </w:tbl>
    <w:p w14:paraId="7C6ECD69" w14:textId="77777777" w:rsidR="009D52AA" w:rsidRDefault="00000000">
      <w:pPr>
        <w:pStyle w:val="Heading2"/>
      </w:pPr>
      <w:bookmarkStart w:id="16" w:name="damages-analysis"/>
      <w:bookmarkEnd w:id="15"/>
      <w:r>
        <w:t>10. DAMAGES ANALYSIS</w:t>
      </w:r>
    </w:p>
    <w:p w14:paraId="41CB35F2" w14:textId="77777777" w:rsidR="009D52AA" w:rsidRDefault="00000000">
      <w:r>
        <w:t>The Helds may be entitled to significant damages under the Fair Housing Act and state tort law:</w:t>
      </w:r>
    </w:p>
    <w:p w14:paraId="2BE1680C" w14:textId="77777777" w:rsidR="009D52AA" w:rsidRDefault="00000000">
      <w:pPr>
        <w:numPr>
          <w:ilvl w:val="0"/>
          <w:numId w:val="14"/>
        </w:numPr>
      </w:pPr>
      <w:r>
        <w:rPr>
          <w:b/>
          <w:bCs/>
        </w:rPr>
        <w:t>Compensatory Damages:</w:t>
      </w:r>
    </w:p>
    <w:p w14:paraId="016153C1" w14:textId="77777777" w:rsidR="009D52AA" w:rsidRDefault="00000000">
      <w:pPr>
        <w:numPr>
          <w:ilvl w:val="1"/>
          <w:numId w:val="15"/>
        </w:numPr>
      </w:pPr>
      <w:r>
        <w:rPr>
          <w:b/>
          <w:bCs/>
        </w:rPr>
        <w:t>Economic Loss:</w:t>
      </w:r>
      <w:r>
        <w:t xml:space="preserve"> Loss of the benefit of the bargain (difference between contract price and fair market value), costs associated with the failed transaction (appraisal fees), and costs of securing alternative housing.</w:t>
      </w:r>
    </w:p>
    <w:p w14:paraId="0DD6B9DB" w14:textId="77777777" w:rsidR="009D52AA" w:rsidRDefault="00000000">
      <w:pPr>
        <w:numPr>
          <w:ilvl w:val="1"/>
          <w:numId w:val="15"/>
        </w:numPr>
      </w:pPr>
      <w:r>
        <w:rPr>
          <w:b/>
          <w:bCs/>
        </w:rPr>
        <w:t>Emotional Distress:</w:t>
      </w:r>
      <w:r>
        <w:t xml:space="preserve"> Damages for the humiliation, frustration, and emotional pain caused by the discrimination and retaliation.</w:t>
      </w:r>
    </w:p>
    <w:p w14:paraId="01A4B685" w14:textId="77777777" w:rsidR="009D52AA" w:rsidRDefault="00000000">
      <w:pPr>
        <w:numPr>
          <w:ilvl w:val="0"/>
          <w:numId w:val="14"/>
        </w:numPr>
      </w:pPr>
      <w:r>
        <w:rPr>
          <w:b/>
          <w:bCs/>
        </w:rPr>
        <w:t>Punitive Damages:</w:t>
      </w:r>
      <w:r>
        <w:t xml:space="preserve"> Available under the FHA and for tortious interference if the conduct is found to be malicious, willful, or in reckless disregard of the plaintiffs’ rights. The direct admissions and retaliatory conduct provide a strong basis for a punitive award.</w:t>
      </w:r>
    </w:p>
    <w:p w14:paraId="26FAAE86" w14:textId="77777777" w:rsidR="009D52AA" w:rsidRDefault="00000000">
      <w:pPr>
        <w:numPr>
          <w:ilvl w:val="0"/>
          <w:numId w:val="14"/>
        </w:numPr>
      </w:pPr>
      <w:r>
        <w:rPr>
          <w:b/>
          <w:bCs/>
        </w:rPr>
        <w:t>Attorney’s Fees and Costs:</w:t>
      </w:r>
      <w:r>
        <w:t xml:space="preserve"> The prevailing party in a Fair Housing Act case is entitled to recover reasonable attorney’s fees and costs.</w:t>
      </w:r>
    </w:p>
    <w:p w14:paraId="7A060E3A" w14:textId="77777777" w:rsidR="009D52AA" w:rsidRDefault="00000000">
      <w:pPr>
        <w:pStyle w:val="Heading2"/>
      </w:pPr>
      <w:bookmarkStart w:id="17" w:name="recommendations-next-steps"/>
      <w:bookmarkEnd w:id="16"/>
      <w:r>
        <w:t>11. RECOMMENDATIONS &amp; NEXT STEPS</w:t>
      </w:r>
    </w:p>
    <w:p w14:paraId="555CB5F7" w14:textId="77777777" w:rsidR="009D52AA" w:rsidRDefault="00000000">
      <w:pPr>
        <w:numPr>
          <w:ilvl w:val="0"/>
          <w:numId w:val="16"/>
        </w:numPr>
      </w:pPr>
      <w:r>
        <w:rPr>
          <w:b/>
          <w:bCs/>
        </w:rPr>
        <w:t>Depose Key Witnesses Immediately:</w:t>
      </w:r>
      <w:r>
        <w:t xml:space="preserve"> Pursue the motion for expedited discovery with urgency. Depose Peter Rudolph, Glenn Rudolph, and Lindi. Subpoena phone records between Peter Rudolph and Andy Nestrick, particularly surrounding April 5-7, 2026.</w:t>
      </w:r>
    </w:p>
    <w:p w14:paraId="60BD97F9" w14:textId="77777777" w:rsidR="009D52AA" w:rsidRDefault="00000000">
      <w:pPr>
        <w:numPr>
          <w:ilvl w:val="0"/>
          <w:numId w:val="16"/>
        </w:numPr>
      </w:pPr>
      <w:r>
        <w:rPr>
          <w:b/>
          <w:bCs/>
        </w:rPr>
        <w:lastRenderedPageBreak/>
        <w:t>File Fair Housing Complaint:</w:t>
      </w:r>
      <w:r>
        <w:t xml:space="preserve"> File a formal complaint with both the Indiana Civil Rights Commission and the U.S. Department of Housing and Urban Development (HUD). The one-year statute of limitations is not an issue.</w:t>
      </w:r>
    </w:p>
    <w:p w14:paraId="647C2417" w14:textId="77777777" w:rsidR="009D52AA" w:rsidRDefault="00000000">
      <w:pPr>
        <w:numPr>
          <w:ilvl w:val="0"/>
          <w:numId w:val="16"/>
        </w:numPr>
      </w:pPr>
      <w:r>
        <w:rPr>
          <w:b/>
          <w:bCs/>
        </w:rPr>
        <w:t>Amend Civil Complaint:</w:t>
      </w:r>
      <w:r>
        <w:t xml:space="preserve"> Amend the existing civil complaint against SKO to include claims for tortious interference. Consider filing a new, separate lawsuit against the Rudolphs for the Fair Housing violations and breach of contract, which could then be consolidated.</w:t>
      </w:r>
    </w:p>
    <w:p w14:paraId="09817122" w14:textId="77777777" w:rsidR="009D52AA" w:rsidRDefault="00000000">
      <w:pPr>
        <w:numPr>
          <w:ilvl w:val="0"/>
          <w:numId w:val="16"/>
        </w:numPr>
      </w:pPr>
      <w:r>
        <w:rPr>
          <w:b/>
          <w:bCs/>
        </w:rPr>
        <w:t>File Disciplinary Complaint:</w:t>
      </w:r>
      <w:r>
        <w:t xml:space="preserve"> File a formal complaint against Andy Nestrick and SKO with the Indiana Supreme Court Disciplinary Commission for the clear conflict of interest and breach of confidentiality.</w:t>
      </w:r>
    </w:p>
    <w:p w14:paraId="45DDD29C" w14:textId="77777777" w:rsidR="009D52AA" w:rsidRDefault="00000000">
      <w:pPr>
        <w:numPr>
          <w:ilvl w:val="0"/>
          <w:numId w:val="16"/>
        </w:numPr>
      </w:pPr>
      <w:r>
        <w:rPr>
          <w:b/>
          <w:bCs/>
        </w:rPr>
        <w:t>Preserve All Evidence:</w:t>
      </w:r>
      <w:r>
        <w:t xml:space="preserve"> Ensure all recordings, text messages, and contemporaneous notes are securely backed up and a clear chain of custody is maintained. Authenticate the April 6 recording immediately.</w:t>
      </w:r>
      <w:bookmarkEnd w:id="0"/>
      <w:bookmarkEnd w:id="17"/>
    </w:p>
    <w:sectPr w:rsidR="009D52A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E044" w14:textId="77777777" w:rsidR="00E26DC2" w:rsidRDefault="00E26DC2">
      <w:pPr>
        <w:spacing w:line="240" w:lineRule="auto"/>
      </w:pPr>
      <w:r>
        <w:separator/>
      </w:r>
    </w:p>
  </w:endnote>
  <w:endnote w:type="continuationSeparator" w:id="0">
    <w:p w14:paraId="30D4B420" w14:textId="77777777" w:rsidR="00E26DC2" w:rsidRDefault="00E26D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00BC" w14:textId="77777777" w:rsidR="00E26DC2" w:rsidRDefault="00E26DC2">
      <w:r>
        <w:separator/>
      </w:r>
    </w:p>
  </w:footnote>
  <w:footnote w:type="continuationSeparator" w:id="0">
    <w:p w14:paraId="20A3E772" w14:textId="77777777" w:rsidR="00E26DC2" w:rsidRDefault="00E26D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6CE0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EB22E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82467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7EEB475F"/>
    <w:multiLevelType w:val="hybridMultilevel"/>
    <w:tmpl w:val="0012F646"/>
    <w:lvl w:ilvl="0" w:tplc="8DAA4F2A">
      <w:start w:val="1"/>
      <w:numFmt w:val="bullet"/>
      <w:lvlText w:val="●"/>
      <w:lvlJc w:val="left"/>
      <w:pPr>
        <w:ind w:left="720" w:hanging="360"/>
      </w:pPr>
    </w:lvl>
    <w:lvl w:ilvl="1" w:tplc="5CAA6C36">
      <w:start w:val="1"/>
      <w:numFmt w:val="bullet"/>
      <w:lvlText w:val="○"/>
      <w:lvlJc w:val="left"/>
      <w:pPr>
        <w:ind w:left="1440" w:hanging="360"/>
      </w:pPr>
    </w:lvl>
    <w:lvl w:ilvl="2" w:tplc="EB2CA4A8">
      <w:start w:val="1"/>
      <w:numFmt w:val="bullet"/>
      <w:lvlText w:val="■"/>
      <w:lvlJc w:val="left"/>
      <w:pPr>
        <w:ind w:left="2160" w:hanging="360"/>
      </w:pPr>
    </w:lvl>
    <w:lvl w:ilvl="3" w:tplc="68DC1846">
      <w:start w:val="1"/>
      <w:numFmt w:val="bullet"/>
      <w:lvlText w:val="●"/>
      <w:lvlJc w:val="left"/>
      <w:pPr>
        <w:ind w:left="2880" w:hanging="360"/>
      </w:pPr>
    </w:lvl>
    <w:lvl w:ilvl="4" w:tplc="A740E248">
      <w:start w:val="1"/>
      <w:numFmt w:val="bullet"/>
      <w:lvlText w:val="○"/>
      <w:lvlJc w:val="left"/>
      <w:pPr>
        <w:ind w:left="3600" w:hanging="360"/>
      </w:pPr>
    </w:lvl>
    <w:lvl w:ilvl="5" w:tplc="9E54A568">
      <w:start w:val="1"/>
      <w:numFmt w:val="bullet"/>
      <w:lvlText w:val="■"/>
      <w:lvlJc w:val="left"/>
      <w:pPr>
        <w:ind w:left="4320" w:hanging="360"/>
      </w:pPr>
    </w:lvl>
    <w:lvl w:ilvl="6" w:tplc="FC8E73A6">
      <w:start w:val="1"/>
      <w:numFmt w:val="bullet"/>
      <w:lvlText w:val="●"/>
      <w:lvlJc w:val="left"/>
      <w:pPr>
        <w:ind w:left="5040" w:hanging="360"/>
      </w:pPr>
    </w:lvl>
    <w:lvl w:ilvl="7" w:tplc="3CB6852E">
      <w:start w:val="1"/>
      <w:numFmt w:val="bullet"/>
      <w:lvlText w:val="●"/>
      <w:lvlJc w:val="left"/>
      <w:pPr>
        <w:ind w:left="5760" w:hanging="360"/>
      </w:pPr>
    </w:lvl>
    <w:lvl w:ilvl="8" w:tplc="D16CC638">
      <w:start w:val="1"/>
      <w:numFmt w:val="bullet"/>
      <w:lvlText w:val="●"/>
      <w:lvlJc w:val="left"/>
      <w:pPr>
        <w:ind w:left="6480" w:hanging="360"/>
      </w:pPr>
    </w:lvl>
  </w:abstractNum>
  <w:num w:numId="1" w16cid:durableId="707527553">
    <w:abstractNumId w:val="3"/>
    <w:lvlOverride w:ilvl="0">
      <w:startOverride w:val="1"/>
    </w:lvlOverride>
  </w:num>
  <w:num w:numId="2" w16cid:durableId="1938244544">
    <w:abstractNumId w:val="0"/>
  </w:num>
  <w:num w:numId="3" w16cid:durableId="1253467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150161">
    <w:abstractNumId w:val="1"/>
  </w:num>
  <w:num w:numId="5" w16cid:durableId="2097165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8626545">
    <w:abstractNumId w:val="1"/>
  </w:num>
  <w:num w:numId="7" w16cid:durableId="478763562">
    <w:abstractNumId w:val="1"/>
  </w:num>
  <w:num w:numId="8" w16cid:durableId="1097218327">
    <w:abstractNumId w:val="1"/>
  </w:num>
  <w:num w:numId="9" w16cid:durableId="1993437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5549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3684130">
    <w:abstractNumId w:val="1"/>
  </w:num>
  <w:num w:numId="12" w16cid:durableId="1644696497">
    <w:abstractNumId w:val="1"/>
  </w:num>
  <w:num w:numId="13" w16cid:durableId="1273316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9462003">
    <w:abstractNumId w:val="1"/>
  </w:num>
  <w:num w:numId="15" w16cid:durableId="1019041169">
    <w:abstractNumId w:val="1"/>
  </w:num>
  <w:num w:numId="16" w16cid:durableId="1946571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2AA"/>
    <w:rsid w:val="00390609"/>
    <w:rsid w:val="009D52AA"/>
    <w:rsid w:val="00D571C8"/>
    <w:rsid w:val="00E2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5DA5"/>
  <w15:docId w15:val="{65E5346F-425F-4E73-8D74-C64BB53F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qFormat/>
    <w:pPr>
      <w:spacing w:line="480" w:lineRule="auto"/>
    </w:pPr>
    <w:rPr>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3047</Words>
  <Characters>17370</Characters>
  <Application>Microsoft Office Word</Application>
  <DocSecurity>0</DocSecurity>
  <Lines>144</Lines>
  <Paragraphs>40</Paragraphs>
  <ScaleCrop>false</ScaleCrop>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Kristi Larry</dc:creator>
  <cp:keywords/>
  <cp:lastModifiedBy>Kristi Larry</cp:lastModifiedBy>
  <cp:revision>2</cp:revision>
  <cp:lastPrinted>2026-05-03T09:59:00Z</cp:lastPrinted>
  <dcterms:created xsi:type="dcterms:W3CDTF">2026-05-03T10:02:00Z</dcterms:created>
  <dcterms:modified xsi:type="dcterms:W3CDTF">2026-05-03T10:02:00Z</dcterms:modified>
</cp:coreProperties>
</file>