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A00D" w14:textId="573CB9B2" w:rsidR="00B43D73" w:rsidRPr="00B07742" w:rsidRDefault="00B43D73" w:rsidP="00B07742">
      <w:pPr>
        <w:spacing w:line="480" w:lineRule="auto"/>
        <w:jc w:val="center"/>
        <w:rPr>
          <w:rFonts w:ascii="Times New Roman" w:hAnsi="Times New Roman" w:cs="Times New Roman"/>
          <w:b/>
          <w:bCs/>
        </w:rPr>
      </w:pPr>
      <w:r w:rsidRPr="00B07742">
        <w:rPr>
          <w:rFonts w:ascii="Times New Roman" w:hAnsi="Times New Roman" w:cs="Times New Roman"/>
          <w:b/>
          <w:bCs/>
        </w:rPr>
        <w:t>Analyzing Alzheimer’s Gene Expression</w:t>
      </w:r>
    </w:p>
    <w:p w14:paraId="7C836060" w14:textId="316BD2D0" w:rsidR="00B43D73" w:rsidRPr="00B07742" w:rsidRDefault="00B43D73" w:rsidP="00B07742">
      <w:pPr>
        <w:spacing w:line="480" w:lineRule="auto"/>
        <w:rPr>
          <w:rFonts w:ascii="Times New Roman" w:hAnsi="Times New Roman" w:cs="Times New Roman"/>
          <w:b/>
          <w:bCs/>
        </w:rPr>
      </w:pPr>
      <w:r w:rsidRPr="00B07742">
        <w:rPr>
          <w:rFonts w:ascii="Times New Roman" w:hAnsi="Times New Roman" w:cs="Times New Roman"/>
          <w:b/>
          <w:bCs/>
        </w:rPr>
        <w:t>Abstract</w:t>
      </w:r>
    </w:p>
    <w:p w14:paraId="76FDB996" w14:textId="6B07F48F"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 xml:space="preserve">Alzheimer’s disease (AD) </w:t>
      </w:r>
      <w:r w:rsidR="00B07742" w:rsidRPr="00B07742">
        <w:rPr>
          <w:rFonts w:ascii="Times New Roman" w:hAnsi="Times New Roman" w:cs="Times New Roman"/>
        </w:rPr>
        <w:t>is characterized</w:t>
      </w:r>
      <w:r w:rsidRPr="00B07742">
        <w:rPr>
          <w:rFonts w:ascii="Times New Roman" w:hAnsi="Times New Roman" w:cs="Times New Roman"/>
        </w:rPr>
        <w:t xml:space="preserve"> by cognitive decline and widespread molecular changes in the brain</w:t>
      </w:r>
      <w:r w:rsidR="00B07742">
        <w:rPr>
          <w:rFonts w:ascii="Times New Roman" w:hAnsi="Times New Roman" w:cs="Times New Roman"/>
        </w:rPr>
        <w:t xml:space="preserve"> which makes it</w:t>
      </w:r>
      <w:r w:rsidR="00B07742" w:rsidRPr="00B07742">
        <w:rPr>
          <w:rFonts w:ascii="Times New Roman" w:hAnsi="Times New Roman" w:cs="Times New Roman"/>
        </w:rPr>
        <w:t xml:space="preserve"> a progressive neurodegenerative disorder</w:t>
      </w:r>
      <w:r w:rsidRPr="00B07742">
        <w:rPr>
          <w:rFonts w:ascii="Times New Roman" w:hAnsi="Times New Roman" w:cs="Times New Roman"/>
        </w:rPr>
        <w:t>. In this study, we analyzed microarray expression data to compare gene expression between Alzheimer’s patients and healthy controls. Three genes of interest</w:t>
      </w:r>
      <w:r w:rsidR="00B07742">
        <w:rPr>
          <w:rFonts w:ascii="Times New Roman" w:hAnsi="Times New Roman" w:cs="Times New Roman"/>
        </w:rPr>
        <w:t xml:space="preserve">: </w:t>
      </w:r>
      <w:r w:rsidRPr="00B07742">
        <w:rPr>
          <w:rFonts w:ascii="Times New Roman" w:hAnsi="Times New Roman" w:cs="Times New Roman"/>
        </w:rPr>
        <w:t>IL17C, TEK, and CCL4</w:t>
      </w:r>
      <w:r w:rsidR="00B07742">
        <w:rPr>
          <w:rFonts w:ascii="Times New Roman" w:hAnsi="Times New Roman" w:cs="Times New Roman"/>
        </w:rPr>
        <w:t xml:space="preserve"> </w:t>
      </w:r>
      <w:r w:rsidRPr="00B07742">
        <w:rPr>
          <w:rFonts w:ascii="Times New Roman" w:hAnsi="Times New Roman" w:cs="Times New Roman"/>
        </w:rPr>
        <w:t xml:space="preserve">were selected </w:t>
      </w:r>
      <w:r w:rsidR="009B5FA9">
        <w:rPr>
          <w:rFonts w:ascii="Times New Roman" w:hAnsi="Times New Roman" w:cs="Times New Roman"/>
        </w:rPr>
        <w:t>as they cause</w:t>
      </w:r>
      <w:r w:rsidRPr="00B07742">
        <w:rPr>
          <w:rFonts w:ascii="Times New Roman" w:hAnsi="Times New Roman" w:cs="Times New Roman"/>
        </w:rPr>
        <w:t xml:space="preserve"> inflammation and </w:t>
      </w:r>
      <w:r w:rsidR="009B5FA9">
        <w:rPr>
          <w:rFonts w:ascii="Times New Roman" w:hAnsi="Times New Roman" w:cs="Times New Roman"/>
        </w:rPr>
        <w:t xml:space="preserve">damage </w:t>
      </w:r>
      <w:r w:rsidRPr="00B07742">
        <w:rPr>
          <w:rFonts w:ascii="Times New Roman" w:hAnsi="Times New Roman" w:cs="Times New Roman"/>
        </w:rPr>
        <w:t xml:space="preserve">vascular function, two </w:t>
      </w:r>
      <w:r w:rsidR="009B5FA9">
        <w:rPr>
          <w:rFonts w:ascii="Times New Roman" w:hAnsi="Times New Roman" w:cs="Times New Roman"/>
        </w:rPr>
        <w:t xml:space="preserve">major </w:t>
      </w:r>
      <w:r w:rsidRPr="00B07742">
        <w:rPr>
          <w:rFonts w:ascii="Times New Roman" w:hAnsi="Times New Roman" w:cs="Times New Roman"/>
        </w:rPr>
        <w:t>pathways</w:t>
      </w:r>
      <w:r w:rsidRPr="00B07742">
        <w:rPr>
          <w:rFonts w:ascii="Times New Roman" w:hAnsi="Times New Roman" w:cs="Times New Roman"/>
        </w:rPr>
        <w:t xml:space="preserve"> </w:t>
      </w:r>
      <w:r w:rsidRPr="00B07742">
        <w:rPr>
          <w:rFonts w:ascii="Times New Roman" w:hAnsi="Times New Roman" w:cs="Times New Roman"/>
        </w:rPr>
        <w:t xml:space="preserve">strongly </w:t>
      </w:r>
      <w:r w:rsidR="009B5FA9">
        <w:rPr>
          <w:rFonts w:ascii="Times New Roman" w:hAnsi="Times New Roman" w:cs="Times New Roman"/>
        </w:rPr>
        <w:t>associated with</w:t>
      </w:r>
      <w:r w:rsidRPr="00B07742">
        <w:rPr>
          <w:rFonts w:ascii="Times New Roman" w:hAnsi="Times New Roman" w:cs="Times New Roman"/>
        </w:rPr>
        <w:t xml:space="preserve"> AD pathology. Mean expression values and fold changes were calculated across control (CDA) and Alzheimer’s (PDA) samples. All three genes </w:t>
      </w:r>
      <w:r w:rsidR="009B5FA9">
        <w:rPr>
          <w:rFonts w:ascii="Times New Roman" w:hAnsi="Times New Roman" w:cs="Times New Roman"/>
        </w:rPr>
        <w:t>illustrate</w:t>
      </w:r>
      <w:r w:rsidRPr="00B07742">
        <w:rPr>
          <w:rFonts w:ascii="Times New Roman" w:hAnsi="Times New Roman" w:cs="Times New Roman"/>
        </w:rPr>
        <w:t xml:space="preserve"> increased expression in AD, with CCL4 demonstrating the strongest upregulation, </w:t>
      </w:r>
      <w:r w:rsidR="009B5FA9">
        <w:rPr>
          <w:rFonts w:ascii="Times New Roman" w:hAnsi="Times New Roman" w:cs="Times New Roman"/>
        </w:rPr>
        <w:t>indicating increased inflammatory response</w:t>
      </w:r>
      <w:r w:rsidRPr="00B07742">
        <w:rPr>
          <w:rFonts w:ascii="Times New Roman" w:hAnsi="Times New Roman" w:cs="Times New Roman"/>
        </w:rPr>
        <w:t xml:space="preserve">. These findings </w:t>
      </w:r>
      <w:r w:rsidR="009B5FA9">
        <w:rPr>
          <w:rFonts w:ascii="Times New Roman" w:hAnsi="Times New Roman" w:cs="Times New Roman"/>
        </w:rPr>
        <w:t xml:space="preserve">can be used to </w:t>
      </w:r>
      <w:r w:rsidRPr="00B07742">
        <w:rPr>
          <w:rFonts w:ascii="Times New Roman" w:hAnsi="Times New Roman" w:cs="Times New Roman"/>
        </w:rPr>
        <w:t>highlight early molecular patterns associated with Alzheimer’s disease and support further</w:t>
      </w:r>
      <w:r w:rsidRPr="00B07742">
        <w:rPr>
          <w:rFonts w:ascii="Times New Roman" w:hAnsi="Times New Roman" w:cs="Times New Roman"/>
        </w:rPr>
        <w:t xml:space="preserve"> </w:t>
      </w:r>
      <w:r w:rsidRPr="00B07742">
        <w:rPr>
          <w:rFonts w:ascii="Times New Roman" w:hAnsi="Times New Roman" w:cs="Times New Roman"/>
        </w:rPr>
        <w:t>investigation into immune and vascular dysregulation.</w:t>
      </w:r>
    </w:p>
    <w:p w14:paraId="7E73EE1E" w14:textId="6306ACA4" w:rsidR="00B43D73" w:rsidRPr="00B07742" w:rsidRDefault="00B43D73" w:rsidP="00B07742">
      <w:pPr>
        <w:spacing w:line="480" w:lineRule="auto"/>
        <w:rPr>
          <w:rFonts w:ascii="Times New Roman" w:hAnsi="Times New Roman" w:cs="Times New Roman"/>
          <w:b/>
          <w:bCs/>
        </w:rPr>
      </w:pPr>
      <w:r w:rsidRPr="00B07742">
        <w:rPr>
          <w:rFonts w:ascii="Times New Roman" w:hAnsi="Times New Roman" w:cs="Times New Roman"/>
          <w:b/>
          <w:bCs/>
        </w:rPr>
        <w:t>Introduction</w:t>
      </w:r>
    </w:p>
    <w:p w14:paraId="526910E8" w14:textId="43F5EA5A"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 xml:space="preserve">Alzheimer’s disease </w:t>
      </w:r>
      <w:r w:rsidR="009B5FA9">
        <w:rPr>
          <w:rFonts w:ascii="Times New Roman" w:hAnsi="Times New Roman" w:cs="Times New Roman"/>
        </w:rPr>
        <w:t xml:space="preserve">is </w:t>
      </w:r>
      <w:r w:rsidRPr="00B07742">
        <w:rPr>
          <w:rFonts w:ascii="Times New Roman" w:hAnsi="Times New Roman" w:cs="Times New Roman"/>
        </w:rPr>
        <w:t xml:space="preserve">marked by progressive memory loss, cognitive impairment, and structural brain changes. </w:t>
      </w:r>
      <w:r w:rsidR="000B39FE">
        <w:rPr>
          <w:rFonts w:ascii="Times New Roman" w:hAnsi="Times New Roman" w:cs="Times New Roman"/>
        </w:rPr>
        <w:t>Alzheimer’s disease can disrupt the immune system in the brain and cause problems with blood vessels which means the brain becomes more inflamed and the blood-brain barrier becomes weaker</w:t>
      </w:r>
      <w:r w:rsidRPr="00B07742">
        <w:rPr>
          <w:rFonts w:ascii="Times New Roman" w:hAnsi="Times New Roman" w:cs="Times New Roman"/>
        </w:rPr>
        <w:t>.</w:t>
      </w:r>
      <w:r w:rsidR="000B39FE">
        <w:rPr>
          <w:rFonts w:ascii="Times New Roman" w:hAnsi="Times New Roman" w:cs="Times New Roman"/>
        </w:rPr>
        <w:t xml:space="preserve"> This affects how nutrients and oxygen reach neurons</w:t>
      </w:r>
      <w:r w:rsidR="00D4513A">
        <w:rPr>
          <w:rFonts w:ascii="Times New Roman" w:hAnsi="Times New Roman" w:cs="Times New Roman"/>
        </w:rPr>
        <w:t>.</w:t>
      </w:r>
      <w:r w:rsidRPr="00B07742">
        <w:rPr>
          <w:rFonts w:ascii="Times New Roman" w:hAnsi="Times New Roman" w:cs="Times New Roman"/>
        </w:rPr>
        <w:t xml:space="preserve"> Gene expression profiling </w:t>
      </w:r>
      <w:r w:rsidR="00D4513A">
        <w:rPr>
          <w:rFonts w:ascii="Times New Roman" w:hAnsi="Times New Roman" w:cs="Times New Roman"/>
        </w:rPr>
        <w:t xml:space="preserve">helps reveal how these biological pathways are disrupted. This analysis centers on three genes: </w:t>
      </w:r>
    </w:p>
    <w:p w14:paraId="23BA66A1" w14:textId="77777777" w:rsidR="00B43D73" w:rsidRPr="00B07742" w:rsidRDefault="00B43D73" w:rsidP="00B07742">
      <w:pPr>
        <w:numPr>
          <w:ilvl w:val="0"/>
          <w:numId w:val="19"/>
        </w:numPr>
        <w:spacing w:line="480" w:lineRule="auto"/>
        <w:rPr>
          <w:rFonts w:ascii="Times New Roman" w:hAnsi="Times New Roman" w:cs="Times New Roman"/>
        </w:rPr>
      </w:pPr>
      <w:r w:rsidRPr="00B07742">
        <w:rPr>
          <w:rFonts w:ascii="Times New Roman" w:hAnsi="Times New Roman" w:cs="Times New Roman"/>
        </w:rPr>
        <w:t>IL17C, an immune</w:t>
      </w:r>
      <w:r w:rsidRPr="00B07742">
        <w:rPr>
          <w:rFonts w:ascii="Times New Roman" w:hAnsi="Times New Roman" w:cs="Times New Roman"/>
        </w:rPr>
        <w:noBreakHyphen/>
        <w:t>related cytokine</w:t>
      </w:r>
    </w:p>
    <w:p w14:paraId="40FFF9DE" w14:textId="77777777" w:rsidR="00B43D73" w:rsidRPr="00B07742" w:rsidRDefault="00B43D73" w:rsidP="00B07742">
      <w:pPr>
        <w:numPr>
          <w:ilvl w:val="0"/>
          <w:numId w:val="19"/>
        </w:numPr>
        <w:spacing w:line="480" w:lineRule="auto"/>
        <w:rPr>
          <w:rFonts w:ascii="Times New Roman" w:hAnsi="Times New Roman" w:cs="Times New Roman"/>
        </w:rPr>
      </w:pPr>
      <w:r w:rsidRPr="00B07742">
        <w:rPr>
          <w:rFonts w:ascii="Times New Roman" w:hAnsi="Times New Roman" w:cs="Times New Roman"/>
        </w:rPr>
        <w:t>TEK, a receptor tyrosine kinase involved in vascular stability</w:t>
      </w:r>
    </w:p>
    <w:p w14:paraId="37218926" w14:textId="77777777" w:rsidR="00B43D73" w:rsidRPr="00B07742" w:rsidRDefault="00B43D73" w:rsidP="00B07742">
      <w:pPr>
        <w:numPr>
          <w:ilvl w:val="0"/>
          <w:numId w:val="19"/>
        </w:numPr>
        <w:spacing w:line="480" w:lineRule="auto"/>
        <w:rPr>
          <w:rFonts w:ascii="Times New Roman" w:hAnsi="Times New Roman" w:cs="Times New Roman"/>
        </w:rPr>
      </w:pPr>
      <w:r w:rsidRPr="00B07742">
        <w:rPr>
          <w:rFonts w:ascii="Times New Roman" w:hAnsi="Times New Roman" w:cs="Times New Roman"/>
        </w:rPr>
        <w:lastRenderedPageBreak/>
        <w:t>CCL4, a chemokine associated with inflammatory signaling</w:t>
      </w:r>
    </w:p>
    <w:p w14:paraId="7D98FBD9" w14:textId="2B3DF980" w:rsidR="00B43D73" w:rsidRPr="00B07742" w:rsidRDefault="00D4513A" w:rsidP="00B07742">
      <w:pPr>
        <w:spacing w:line="480" w:lineRule="auto"/>
        <w:rPr>
          <w:rFonts w:ascii="Times New Roman" w:hAnsi="Times New Roman" w:cs="Times New Roman"/>
        </w:rPr>
      </w:pPr>
      <w:r w:rsidRPr="00B07742">
        <w:rPr>
          <w:rFonts w:ascii="Times New Roman" w:hAnsi="Times New Roman" w:cs="Times New Roman"/>
        </w:rPr>
        <w:t>We</w:t>
      </w:r>
      <w:r w:rsidRPr="00B07742">
        <w:rPr>
          <w:rFonts w:ascii="Times New Roman" w:hAnsi="Times New Roman" w:cs="Times New Roman"/>
        </w:rPr>
        <w:t xml:space="preserve"> aim to identify early transcriptional changes that may contribute to disease </w:t>
      </w:r>
      <w:r w:rsidRPr="00B07742">
        <w:rPr>
          <w:rFonts w:ascii="Times New Roman" w:hAnsi="Times New Roman" w:cs="Times New Roman"/>
        </w:rPr>
        <w:t>progression</w:t>
      </w:r>
      <w:r>
        <w:rPr>
          <w:rFonts w:ascii="Times New Roman" w:hAnsi="Times New Roman" w:cs="Times New Roman"/>
        </w:rPr>
        <w:t xml:space="preserve"> which can be concluded through</w:t>
      </w:r>
      <w:r w:rsidR="00B43D73" w:rsidRPr="00B07742">
        <w:rPr>
          <w:rFonts w:ascii="Times New Roman" w:hAnsi="Times New Roman" w:cs="Times New Roman"/>
        </w:rPr>
        <w:t xml:space="preserve"> comparing expression levels between Alzheimer’s and control samples</w:t>
      </w:r>
      <w:r>
        <w:rPr>
          <w:rFonts w:ascii="Times New Roman" w:hAnsi="Times New Roman" w:cs="Times New Roman"/>
        </w:rPr>
        <w:t>.</w:t>
      </w:r>
    </w:p>
    <w:p w14:paraId="11317E77" w14:textId="03997E8B" w:rsidR="00B43D73" w:rsidRPr="00B07742" w:rsidRDefault="00B43D73" w:rsidP="00B07742">
      <w:pPr>
        <w:spacing w:line="480" w:lineRule="auto"/>
        <w:rPr>
          <w:rFonts w:ascii="Times New Roman" w:hAnsi="Times New Roman" w:cs="Times New Roman"/>
          <w:b/>
          <w:bCs/>
        </w:rPr>
      </w:pPr>
      <w:r w:rsidRPr="00B07742">
        <w:rPr>
          <w:rFonts w:ascii="Times New Roman" w:hAnsi="Times New Roman" w:cs="Times New Roman"/>
          <w:b/>
          <w:bCs/>
        </w:rPr>
        <w:t>Methods</w:t>
      </w:r>
      <w:r w:rsidR="00D4513A">
        <w:rPr>
          <w:rFonts w:ascii="Times New Roman" w:hAnsi="Times New Roman" w:cs="Times New Roman"/>
          <w:b/>
          <w:bCs/>
        </w:rPr>
        <w:t>:</w:t>
      </w:r>
    </w:p>
    <w:p w14:paraId="5EBD9327" w14:textId="3BB38952" w:rsidR="00B43D73" w:rsidRPr="00B07742" w:rsidRDefault="00B43D73" w:rsidP="00B07742">
      <w:pPr>
        <w:spacing w:line="480" w:lineRule="auto"/>
        <w:rPr>
          <w:rFonts w:ascii="Times New Roman" w:hAnsi="Times New Roman" w:cs="Times New Roman"/>
          <w:b/>
          <w:bCs/>
        </w:rPr>
      </w:pPr>
      <w:r w:rsidRPr="00B07742">
        <w:rPr>
          <w:rFonts w:ascii="Times New Roman" w:hAnsi="Times New Roman" w:cs="Times New Roman"/>
          <w:b/>
          <w:bCs/>
        </w:rPr>
        <w:t>Dataset</w:t>
      </w:r>
    </w:p>
    <w:p w14:paraId="4E751E1D" w14:textId="0321A70E"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Microarray dataset: Norm_NR.txt</w:t>
      </w:r>
    </w:p>
    <w:p w14:paraId="6DFC63A5"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Samples included:</w:t>
      </w:r>
    </w:p>
    <w:p w14:paraId="0687A2E9" w14:textId="77777777" w:rsidR="00B43D73" w:rsidRPr="00B07742" w:rsidRDefault="00B43D73" w:rsidP="00B07742">
      <w:pPr>
        <w:numPr>
          <w:ilvl w:val="0"/>
          <w:numId w:val="20"/>
        </w:numPr>
        <w:spacing w:line="480" w:lineRule="auto"/>
        <w:rPr>
          <w:rFonts w:ascii="Times New Roman" w:hAnsi="Times New Roman" w:cs="Times New Roman"/>
        </w:rPr>
      </w:pPr>
      <w:r w:rsidRPr="00B07742">
        <w:rPr>
          <w:rFonts w:ascii="Times New Roman" w:hAnsi="Times New Roman" w:cs="Times New Roman"/>
        </w:rPr>
        <w:t>CDA = control samples</w:t>
      </w:r>
    </w:p>
    <w:p w14:paraId="1C8182C3" w14:textId="77777777" w:rsidR="00B43D73" w:rsidRPr="00B07742" w:rsidRDefault="00B43D73" w:rsidP="00B07742">
      <w:pPr>
        <w:numPr>
          <w:ilvl w:val="0"/>
          <w:numId w:val="20"/>
        </w:numPr>
        <w:spacing w:line="480" w:lineRule="auto"/>
        <w:rPr>
          <w:rFonts w:ascii="Times New Roman" w:hAnsi="Times New Roman" w:cs="Times New Roman"/>
        </w:rPr>
      </w:pPr>
      <w:r w:rsidRPr="00B07742">
        <w:rPr>
          <w:rFonts w:ascii="Times New Roman" w:hAnsi="Times New Roman" w:cs="Times New Roman"/>
        </w:rPr>
        <w:t>PDA = Alzheimer’s samples</w:t>
      </w:r>
    </w:p>
    <w:p w14:paraId="642A993C" w14:textId="402CC3C0"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Data Processing Steps</w:t>
      </w:r>
      <w:r w:rsidR="00B07742">
        <w:rPr>
          <w:rFonts w:ascii="Times New Roman" w:hAnsi="Times New Roman" w:cs="Times New Roman"/>
        </w:rPr>
        <w:t>:</w:t>
      </w:r>
    </w:p>
    <w:p w14:paraId="514586EF" w14:textId="77777777" w:rsidR="00B43D73" w:rsidRPr="00B07742" w:rsidRDefault="00B43D73" w:rsidP="00B07742">
      <w:pPr>
        <w:numPr>
          <w:ilvl w:val="0"/>
          <w:numId w:val="21"/>
        </w:numPr>
        <w:spacing w:line="480" w:lineRule="auto"/>
        <w:rPr>
          <w:rFonts w:ascii="Times New Roman" w:hAnsi="Times New Roman" w:cs="Times New Roman"/>
        </w:rPr>
      </w:pPr>
      <w:r w:rsidRPr="00B07742">
        <w:rPr>
          <w:rFonts w:ascii="Times New Roman" w:hAnsi="Times New Roman" w:cs="Times New Roman"/>
        </w:rPr>
        <w:t>Loaded dataset into Python using pandas.</w:t>
      </w:r>
    </w:p>
    <w:p w14:paraId="73566D7E" w14:textId="77777777" w:rsidR="00B43D73" w:rsidRPr="00B07742" w:rsidRDefault="00B43D73" w:rsidP="00B07742">
      <w:pPr>
        <w:numPr>
          <w:ilvl w:val="0"/>
          <w:numId w:val="21"/>
        </w:numPr>
        <w:spacing w:line="480" w:lineRule="auto"/>
        <w:rPr>
          <w:rFonts w:ascii="Times New Roman" w:hAnsi="Times New Roman" w:cs="Times New Roman"/>
        </w:rPr>
      </w:pPr>
      <w:r w:rsidRPr="00B07742">
        <w:rPr>
          <w:rFonts w:ascii="Times New Roman" w:hAnsi="Times New Roman" w:cs="Times New Roman"/>
        </w:rPr>
        <w:t xml:space="preserve">Split the first column into </w:t>
      </w:r>
      <w:proofErr w:type="spellStart"/>
      <w:r w:rsidRPr="00B07742">
        <w:rPr>
          <w:rFonts w:ascii="Times New Roman" w:hAnsi="Times New Roman" w:cs="Times New Roman"/>
        </w:rPr>
        <w:t>RowID</w:t>
      </w:r>
      <w:proofErr w:type="spellEnd"/>
      <w:r w:rsidRPr="00B07742">
        <w:rPr>
          <w:rFonts w:ascii="Times New Roman" w:hAnsi="Times New Roman" w:cs="Times New Roman"/>
        </w:rPr>
        <w:t xml:space="preserve">, </w:t>
      </w:r>
      <w:proofErr w:type="spellStart"/>
      <w:r w:rsidRPr="00B07742">
        <w:rPr>
          <w:rFonts w:ascii="Times New Roman" w:hAnsi="Times New Roman" w:cs="Times New Roman"/>
        </w:rPr>
        <w:t>GeneSymbol</w:t>
      </w:r>
      <w:proofErr w:type="spellEnd"/>
      <w:r w:rsidRPr="00B07742">
        <w:rPr>
          <w:rFonts w:ascii="Times New Roman" w:hAnsi="Times New Roman" w:cs="Times New Roman"/>
        </w:rPr>
        <w:t xml:space="preserve">, and </w:t>
      </w:r>
      <w:proofErr w:type="spellStart"/>
      <w:r w:rsidRPr="00B07742">
        <w:rPr>
          <w:rFonts w:ascii="Times New Roman" w:hAnsi="Times New Roman" w:cs="Times New Roman"/>
        </w:rPr>
        <w:t>ProbeID</w:t>
      </w:r>
      <w:proofErr w:type="spellEnd"/>
      <w:r w:rsidRPr="00B07742">
        <w:rPr>
          <w:rFonts w:ascii="Times New Roman" w:hAnsi="Times New Roman" w:cs="Times New Roman"/>
        </w:rPr>
        <w:t>.</w:t>
      </w:r>
    </w:p>
    <w:p w14:paraId="55B35F7A" w14:textId="77777777" w:rsidR="00B43D73" w:rsidRPr="00B07742" w:rsidRDefault="00B43D73" w:rsidP="00B07742">
      <w:pPr>
        <w:numPr>
          <w:ilvl w:val="0"/>
          <w:numId w:val="21"/>
        </w:numPr>
        <w:spacing w:line="480" w:lineRule="auto"/>
        <w:rPr>
          <w:rFonts w:ascii="Times New Roman" w:hAnsi="Times New Roman" w:cs="Times New Roman"/>
        </w:rPr>
      </w:pPr>
      <w:r w:rsidRPr="00B07742">
        <w:rPr>
          <w:rFonts w:ascii="Times New Roman" w:hAnsi="Times New Roman" w:cs="Times New Roman"/>
        </w:rPr>
        <w:t>Reorganized columns so gene identifiers appear first.</w:t>
      </w:r>
    </w:p>
    <w:p w14:paraId="5D62A9F4" w14:textId="77777777" w:rsidR="00B43D73" w:rsidRPr="00B07742" w:rsidRDefault="00B43D73" w:rsidP="00B07742">
      <w:pPr>
        <w:numPr>
          <w:ilvl w:val="0"/>
          <w:numId w:val="21"/>
        </w:numPr>
        <w:spacing w:line="480" w:lineRule="auto"/>
        <w:rPr>
          <w:rFonts w:ascii="Times New Roman" w:hAnsi="Times New Roman" w:cs="Times New Roman"/>
        </w:rPr>
      </w:pPr>
      <w:r w:rsidRPr="00B07742">
        <w:rPr>
          <w:rFonts w:ascii="Times New Roman" w:hAnsi="Times New Roman" w:cs="Times New Roman"/>
        </w:rPr>
        <w:t>Identified control and Alzheimer’s sample columns using prefixes (“CDA” and “PDA”).</w:t>
      </w:r>
    </w:p>
    <w:p w14:paraId="3859CF35" w14:textId="77777777" w:rsidR="00B43D73" w:rsidRPr="00B07742" w:rsidRDefault="00B43D73" w:rsidP="00B07742">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B07742">
        <w:rPr>
          <w:rFonts w:ascii="Times New Roman" w:eastAsia="Times New Roman" w:hAnsi="Times New Roman" w:cs="Times New Roman"/>
          <w:kern w:val="0"/>
          <w14:ligatures w14:val="none"/>
        </w:rPr>
        <w:t>Calculated:</w:t>
      </w:r>
    </w:p>
    <w:p w14:paraId="686EED15" w14:textId="77777777" w:rsidR="00B43D73" w:rsidRPr="00B07742" w:rsidRDefault="00B43D73" w:rsidP="00B07742">
      <w:pPr>
        <w:numPr>
          <w:ilvl w:val="1"/>
          <w:numId w:val="21"/>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B07742">
        <w:rPr>
          <w:rFonts w:ascii="Times New Roman" w:eastAsia="Times New Roman" w:hAnsi="Times New Roman" w:cs="Times New Roman"/>
          <w:kern w:val="0"/>
          <w14:ligatures w14:val="none"/>
        </w:rPr>
        <w:t>Control_mean</w:t>
      </w:r>
      <w:proofErr w:type="spellEnd"/>
      <w:r w:rsidRPr="00B07742">
        <w:rPr>
          <w:rFonts w:ascii="Times New Roman" w:eastAsia="Times New Roman" w:hAnsi="Times New Roman" w:cs="Times New Roman"/>
          <w:kern w:val="0"/>
          <w14:ligatures w14:val="none"/>
        </w:rPr>
        <w:t xml:space="preserve"> = average expression across CDA samples</w:t>
      </w:r>
    </w:p>
    <w:p w14:paraId="028A2DC0" w14:textId="77777777" w:rsidR="00B43D73" w:rsidRPr="00B07742" w:rsidRDefault="00B43D73" w:rsidP="00B07742">
      <w:pPr>
        <w:numPr>
          <w:ilvl w:val="1"/>
          <w:numId w:val="21"/>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B07742">
        <w:rPr>
          <w:rFonts w:ascii="Times New Roman" w:eastAsia="Times New Roman" w:hAnsi="Times New Roman" w:cs="Times New Roman"/>
          <w:kern w:val="0"/>
          <w14:ligatures w14:val="none"/>
        </w:rPr>
        <w:t>Alz_mean</w:t>
      </w:r>
      <w:proofErr w:type="spellEnd"/>
      <w:r w:rsidRPr="00B07742">
        <w:rPr>
          <w:rFonts w:ascii="Times New Roman" w:eastAsia="Times New Roman" w:hAnsi="Times New Roman" w:cs="Times New Roman"/>
          <w:kern w:val="0"/>
          <w14:ligatures w14:val="none"/>
        </w:rPr>
        <w:t xml:space="preserve"> = average expression across PDA samples</w:t>
      </w:r>
    </w:p>
    <w:p w14:paraId="0A09E08A" w14:textId="77777777" w:rsidR="00B43D73" w:rsidRPr="00B07742" w:rsidRDefault="00B43D73" w:rsidP="00B07742">
      <w:pPr>
        <w:numPr>
          <w:ilvl w:val="1"/>
          <w:numId w:val="21"/>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B07742">
        <w:rPr>
          <w:rFonts w:ascii="Times New Roman" w:eastAsia="Times New Roman" w:hAnsi="Times New Roman" w:cs="Times New Roman"/>
          <w:kern w:val="0"/>
          <w14:ligatures w14:val="none"/>
        </w:rPr>
        <w:t>FoldChange</w:t>
      </w:r>
      <w:proofErr w:type="spellEnd"/>
      <w:r w:rsidRPr="00B07742">
        <w:rPr>
          <w:rFonts w:ascii="Times New Roman" w:eastAsia="Times New Roman" w:hAnsi="Times New Roman" w:cs="Times New Roman"/>
          <w:kern w:val="0"/>
          <w14:ligatures w14:val="none"/>
        </w:rPr>
        <w:t xml:space="preserve"> = </w:t>
      </w:r>
      <w:proofErr w:type="spellStart"/>
      <w:r w:rsidRPr="00B07742">
        <w:rPr>
          <w:rFonts w:ascii="Times New Roman" w:eastAsia="Times New Roman" w:hAnsi="Times New Roman" w:cs="Times New Roman"/>
          <w:kern w:val="0"/>
          <w14:ligatures w14:val="none"/>
        </w:rPr>
        <w:t>Alz_mean</w:t>
      </w:r>
      <w:proofErr w:type="spellEnd"/>
      <w:r w:rsidRPr="00B07742">
        <w:rPr>
          <w:rFonts w:ascii="Times New Roman" w:eastAsia="Times New Roman" w:hAnsi="Times New Roman" w:cs="Times New Roman"/>
          <w:kern w:val="0"/>
          <w14:ligatures w14:val="none"/>
        </w:rPr>
        <w:t xml:space="preserve"> − </w:t>
      </w:r>
      <w:proofErr w:type="spellStart"/>
      <w:r w:rsidRPr="00B07742">
        <w:rPr>
          <w:rFonts w:ascii="Times New Roman" w:eastAsia="Times New Roman" w:hAnsi="Times New Roman" w:cs="Times New Roman"/>
          <w:kern w:val="0"/>
          <w14:ligatures w14:val="none"/>
        </w:rPr>
        <w:t>Control_mean</w:t>
      </w:r>
      <w:proofErr w:type="spellEnd"/>
    </w:p>
    <w:p w14:paraId="37F7D40B" w14:textId="77777777" w:rsidR="00B43D73" w:rsidRPr="00B07742" w:rsidRDefault="00B43D73" w:rsidP="00B07742">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B07742">
        <w:rPr>
          <w:rFonts w:ascii="Times New Roman" w:eastAsia="Times New Roman" w:hAnsi="Times New Roman" w:cs="Times New Roman"/>
          <w:kern w:val="0"/>
          <w14:ligatures w14:val="none"/>
        </w:rPr>
        <w:t>Filtered dataset to include IL17C, TEK, and CCL4.</w:t>
      </w:r>
    </w:p>
    <w:p w14:paraId="398E8686" w14:textId="77777777" w:rsidR="00B43D73" w:rsidRPr="00B07742" w:rsidRDefault="00B43D73" w:rsidP="00B07742">
      <w:pPr>
        <w:numPr>
          <w:ilvl w:val="0"/>
          <w:numId w:val="21"/>
        </w:numPr>
        <w:spacing w:before="100" w:beforeAutospacing="1" w:after="100" w:afterAutospacing="1" w:line="480" w:lineRule="auto"/>
        <w:rPr>
          <w:rFonts w:ascii="Times New Roman" w:eastAsia="Times New Roman" w:hAnsi="Times New Roman" w:cs="Times New Roman"/>
          <w:kern w:val="0"/>
          <w14:ligatures w14:val="none"/>
        </w:rPr>
      </w:pPr>
      <w:r w:rsidRPr="00B07742">
        <w:rPr>
          <w:rFonts w:ascii="Times New Roman" w:eastAsia="Times New Roman" w:hAnsi="Times New Roman" w:cs="Times New Roman"/>
          <w:kern w:val="0"/>
          <w14:ligatures w14:val="none"/>
        </w:rPr>
        <w:lastRenderedPageBreak/>
        <w:t>Generated three tables and one figure.</w:t>
      </w:r>
    </w:p>
    <w:p w14:paraId="1A73FF2B" w14:textId="20891B06" w:rsidR="00B43D73" w:rsidRPr="00B07742" w:rsidRDefault="00B43D73" w:rsidP="00B07742">
      <w:pPr>
        <w:spacing w:line="480" w:lineRule="auto"/>
        <w:rPr>
          <w:rFonts w:ascii="Times New Roman" w:hAnsi="Times New Roman" w:cs="Times New Roman"/>
          <w:b/>
          <w:bCs/>
        </w:rPr>
      </w:pPr>
      <w:r w:rsidRPr="00B07742">
        <w:rPr>
          <w:rFonts w:ascii="Times New Roman" w:hAnsi="Times New Roman" w:cs="Times New Roman"/>
          <w:b/>
          <w:bCs/>
        </w:rPr>
        <w:t>Results</w:t>
      </w:r>
    </w:p>
    <w:p w14:paraId="187F2278" w14:textId="77777777"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 xml:space="preserve">Table 1. Mean expression values for IL17C, TEK, and CCL4 in control and Alzheimer’s samples.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5"/>
        <w:gridCol w:w="1344"/>
        <w:gridCol w:w="1464"/>
        <w:gridCol w:w="1125"/>
      </w:tblGrid>
      <w:tr w:rsidR="00B43D73" w:rsidRPr="00B07742" w14:paraId="72C9D8EF"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9ACFE18" w14:textId="77777777" w:rsidR="00B43D73" w:rsidRPr="00B07742" w:rsidRDefault="00B43D73" w:rsidP="00B07742">
            <w:pPr>
              <w:spacing w:line="480" w:lineRule="auto"/>
              <w:rPr>
                <w:rFonts w:ascii="Times New Roman" w:hAnsi="Times New Roman" w:cs="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C9CBC74"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GeneSymbol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3F690E5"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Control_mean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218A78"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Alz_mean</w:t>
            </w:r>
            <w:proofErr w:type="spellEnd"/>
          </w:p>
        </w:tc>
      </w:tr>
      <w:tr w:rsidR="00B43D73" w:rsidRPr="00B07742" w14:paraId="39357C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9443A2"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7758</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36C9B"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IL17C</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A261D"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6.695537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BB4FC08"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6.873259</w:t>
            </w:r>
          </w:p>
        </w:tc>
      </w:tr>
      <w:tr w:rsidR="00B43D73" w:rsidRPr="00B07742" w14:paraId="2FFA88A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3E4BA97"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19102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711B8"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CCL4</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F71AC"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13.094788</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8A54E"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13.626846</w:t>
            </w:r>
          </w:p>
        </w:tc>
      </w:tr>
      <w:tr w:rsidR="00B43D73" w:rsidRPr="00B07742" w14:paraId="483214D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959A7BE"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22894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4F087"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CCL4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0C2FF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13.570006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967D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14.077097</w:t>
            </w:r>
          </w:p>
        </w:tc>
      </w:tr>
      <w:tr w:rsidR="00B43D73" w:rsidRPr="00B07742" w14:paraId="385FCB2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55BB98"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28609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A8100"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TEK</w:t>
            </w:r>
          </w:p>
        </w:tc>
        <w:tc>
          <w:tcPr>
            <w:tcW w:w="0" w:type="auto"/>
            <w:tcBorders>
              <w:top w:val="outset" w:sz="6" w:space="0" w:color="auto"/>
              <w:left w:val="outset" w:sz="6" w:space="0" w:color="auto"/>
              <w:bottom w:val="outset" w:sz="6" w:space="0" w:color="auto"/>
              <w:right w:val="outset" w:sz="6" w:space="0" w:color="auto"/>
            </w:tcBorders>
            <w:vAlign w:val="center"/>
            <w:hideMark/>
          </w:tcPr>
          <w:p w14:paraId="36039B1E"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5.387521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297A1"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5.689869</w:t>
            </w:r>
          </w:p>
        </w:tc>
      </w:tr>
    </w:tbl>
    <w:p w14:paraId="61FF318C" w14:textId="4E00DAC6"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pict w14:anchorId="78E66491"/>
      </w:r>
    </w:p>
    <w:p w14:paraId="4F6FEAF9" w14:textId="32984236" w:rsidR="00B07742"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 xml:space="preserve">All three genes show higher average expression in Alzheimer’s patients compared to controls. CCL4 has the highest </w:t>
      </w:r>
      <w:r w:rsidR="00B07742" w:rsidRPr="00B07742">
        <w:rPr>
          <w:rFonts w:ascii="Times New Roman" w:hAnsi="Times New Roman" w:cs="Times New Roman"/>
        </w:rPr>
        <w:t>meaning</w:t>
      </w:r>
      <w:r w:rsidRPr="00B07742">
        <w:rPr>
          <w:rFonts w:ascii="Times New Roman" w:hAnsi="Times New Roman" w:cs="Times New Roman"/>
        </w:rPr>
        <w:t xml:space="preserve"> expression across both probes, reflecting its strong involvement in inflammatory signaling. TEK shows moderate expression levels, consistent with its vascular‑related function. IL17C shows lower overall expression but still increases in Alzheimer’s samples. Note: CCL4 appears twice because the dataset includes two different probes for the same gene, which is expected and not a duplication error.</w:t>
      </w:r>
    </w:p>
    <w:p w14:paraId="08FF47C8" w14:textId="77777777"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 xml:space="preserve">Table 2. Fold change values for IL17C, TEK, and CCL4 comparing Alzheimer’s samples to controls.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5"/>
        <w:gridCol w:w="1344"/>
        <w:gridCol w:w="1279"/>
      </w:tblGrid>
      <w:tr w:rsidR="00B43D73" w:rsidRPr="00B07742" w14:paraId="7D7312D7"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F107263" w14:textId="77777777" w:rsidR="00B43D73" w:rsidRPr="00B07742" w:rsidRDefault="00B43D73" w:rsidP="00B07742">
            <w:pPr>
              <w:spacing w:line="480" w:lineRule="auto"/>
              <w:rPr>
                <w:rFonts w:ascii="Times New Roman" w:hAnsi="Times New Roman" w:cs="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50148EF"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GeneSymbol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57D42A"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FoldChange</w:t>
            </w:r>
            <w:proofErr w:type="spellEnd"/>
          </w:p>
        </w:tc>
      </w:tr>
      <w:tr w:rsidR="00B43D73" w:rsidRPr="00B07742" w14:paraId="262E78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A6BC2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7758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D6D0E"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IL17C</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D64BC"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0.177721</w:t>
            </w:r>
          </w:p>
        </w:tc>
      </w:tr>
      <w:tr w:rsidR="00B43D73" w:rsidRPr="00B07742" w14:paraId="09702BA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CE0E36"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19102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4250D"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CCL4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E5217"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0.532058</w:t>
            </w:r>
          </w:p>
        </w:tc>
      </w:tr>
      <w:tr w:rsidR="00B43D73" w:rsidRPr="00B07742" w14:paraId="64B527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F4668D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22894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130DD"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CCL4</w:t>
            </w:r>
          </w:p>
        </w:tc>
        <w:tc>
          <w:tcPr>
            <w:tcW w:w="0" w:type="auto"/>
            <w:tcBorders>
              <w:top w:val="outset" w:sz="6" w:space="0" w:color="auto"/>
              <w:left w:val="outset" w:sz="6" w:space="0" w:color="auto"/>
              <w:bottom w:val="outset" w:sz="6" w:space="0" w:color="auto"/>
              <w:right w:val="outset" w:sz="6" w:space="0" w:color="auto"/>
            </w:tcBorders>
            <w:vAlign w:val="center"/>
            <w:hideMark/>
          </w:tcPr>
          <w:p w14:paraId="692C5491"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0.507091</w:t>
            </w:r>
          </w:p>
        </w:tc>
      </w:tr>
      <w:tr w:rsidR="00B43D73" w:rsidRPr="00B07742" w14:paraId="6D6DA4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4A7F88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28609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67F4F"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TEK</w:t>
            </w:r>
          </w:p>
        </w:tc>
        <w:tc>
          <w:tcPr>
            <w:tcW w:w="0" w:type="auto"/>
            <w:tcBorders>
              <w:top w:val="outset" w:sz="6" w:space="0" w:color="auto"/>
              <w:left w:val="outset" w:sz="6" w:space="0" w:color="auto"/>
              <w:bottom w:val="outset" w:sz="6" w:space="0" w:color="auto"/>
              <w:right w:val="outset" w:sz="6" w:space="0" w:color="auto"/>
            </w:tcBorders>
            <w:vAlign w:val="center"/>
            <w:hideMark/>
          </w:tcPr>
          <w:p w14:paraId="2D7E9D84"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0.302348</w:t>
            </w:r>
          </w:p>
        </w:tc>
      </w:tr>
    </w:tbl>
    <w:p w14:paraId="2DF35FF2" w14:textId="223B4B0F"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pict w14:anchorId="28166AEB"/>
      </w:r>
    </w:p>
    <w:p w14:paraId="2B10584C" w14:textId="77777777" w:rsidR="00D4513A" w:rsidRDefault="00B43D73" w:rsidP="00B07742">
      <w:pPr>
        <w:spacing w:line="480" w:lineRule="auto"/>
        <w:rPr>
          <w:rFonts w:ascii="Times New Roman" w:hAnsi="Times New Roman" w:cs="Times New Roman"/>
        </w:rPr>
      </w:pPr>
      <w:r w:rsidRPr="00B07742">
        <w:rPr>
          <w:rFonts w:ascii="Times New Roman" w:hAnsi="Times New Roman" w:cs="Times New Roman"/>
        </w:rPr>
        <w:t>Positive fold change values indicate higher expression in Alzheimer’s patients. CCL4 shows the strongest upregulation across both probes, suggesting increased inflammatory activity associated with Alzheimer’s disease. TEK displays moderate upregulation, while IL17C shows a smaller increase but still follows the same upward trend. These fold‑change values highlight which genes may be most responsive to disease‑related changes</w:t>
      </w:r>
      <w:r w:rsidR="00D4513A">
        <w:rPr>
          <w:rFonts w:ascii="Times New Roman" w:hAnsi="Times New Roman" w:cs="Times New Roman"/>
        </w:rPr>
        <w:t>.</w:t>
      </w:r>
    </w:p>
    <w:p w14:paraId="6E5C536A" w14:textId="6A2BBD76" w:rsidR="00B43D73"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Table 3. Summary of mean expression and fold change for IL17C, TEK, and CCL4 in control and Alzheimer’s samples.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05"/>
        <w:gridCol w:w="1344"/>
        <w:gridCol w:w="1464"/>
        <w:gridCol w:w="1110"/>
        <w:gridCol w:w="1279"/>
      </w:tblGrid>
      <w:tr w:rsidR="00B43D73" w:rsidRPr="00B07742" w14:paraId="38608DC8"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CFE6FD" w14:textId="77777777" w:rsidR="00B43D73" w:rsidRPr="00B07742" w:rsidRDefault="00B43D73" w:rsidP="00B07742">
            <w:pPr>
              <w:spacing w:line="480" w:lineRule="auto"/>
              <w:rPr>
                <w:rFonts w:ascii="Times New Roman" w:hAnsi="Times New Roman" w:cs="Times New Roma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8DD6502"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GeneSymbol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78C330"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Control_mean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E4CA86"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Alz_mean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B3A5876" w14:textId="77777777" w:rsidR="00B43D73" w:rsidRPr="00B07742" w:rsidRDefault="00B43D73" w:rsidP="00B07742">
            <w:pPr>
              <w:spacing w:line="480" w:lineRule="auto"/>
              <w:rPr>
                <w:rFonts w:ascii="Times New Roman" w:hAnsi="Times New Roman" w:cs="Times New Roman"/>
              </w:rPr>
            </w:pPr>
            <w:proofErr w:type="spellStart"/>
            <w:r w:rsidRPr="00B07742">
              <w:rPr>
                <w:rFonts w:ascii="Times New Roman" w:hAnsi="Times New Roman" w:cs="Times New Roman"/>
              </w:rPr>
              <w:t>FoldChange</w:t>
            </w:r>
            <w:proofErr w:type="spellEnd"/>
          </w:p>
        </w:tc>
      </w:tr>
      <w:tr w:rsidR="00B43D73" w:rsidRPr="00B07742" w14:paraId="404C66B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B2C0AE5"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7758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AD9D9"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IL17C</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4079E"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6.695537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4EB34"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6.873259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FE337"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0.177721</w:t>
            </w:r>
          </w:p>
        </w:tc>
      </w:tr>
      <w:tr w:rsidR="00B43D73" w:rsidRPr="00B07742" w14:paraId="7A1408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E0E0526"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19102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86E41"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CCL4</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A793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13.094788</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94FBC"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13.626846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49279"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0.532058</w:t>
            </w:r>
          </w:p>
        </w:tc>
      </w:tr>
      <w:tr w:rsidR="00B43D73" w:rsidRPr="00B07742" w14:paraId="60E9C58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D8850C5"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22894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F88BC"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CCL4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D4ED2"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13.570006</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57C72"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14.077097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3F710"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0.507091</w:t>
            </w:r>
          </w:p>
        </w:tc>
      </w:tr>
      <w:tr w:rsidR="00B43D73" w:rsidRPr="00B07742" w14:paraId="5B46204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34BA609"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lastRenderedPageBreak/>
              <w:t>28609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D6085"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TEK</w:t>
            </w:r>
          </w:p>
        </w:tc>
        <w:tc>
          <w:tcPr>
            <w:tcW w:w="0" w:type="auto"/>
            <w:tcBorders>
              <w:top w:val="outset" w:sz="6" w:space="0" w:color="auto"/>
              <w:left w:val="outset" w:sz="6" w:space="0" w:color="auto"/>
              <w:bottom w:val="outset" w:sz="6" w:space="0" w:color="auto"/>
              <w:right w:val="outset" w:sz="6" w:space="0" w:color="auto"/>
            </w:tcBorders>
            <w:vAlign w:val="center"/>
            <w:hideMark/>
          </w:tcPr>
          <w:p w14:paraId="4FDC791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5.387521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EC06A"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5.689869</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8753B" w14:textId="77777777" w:rsidR="00B43D73" w:rsidRPr="00B07742" w:rsidRDefault="00B43D73" w:rsidP="00B07742">
            <w:pPr>
              <w:spacing w:line="480" w:lineRule="auto"/>
              <w:rPr>
                <w:rFonts w:ascii="Times New Roman" w:hAnsi="Times New Roman" w:cs="Times New Roman"/>
              </w:rPr>
            </w:pPr>
            <w:r w:rsidRPr="00B07742">
              <w:rPr>
                <w:rFonts w:ascii="Times New Roman" w:hAnsi="Times New Roman" w:cs="Times New Roman"/>
              </w:rPr>
              <w:t>0.302348</w:t>
            </w:r>
          </w:p>
        </w:tc>
      </w:tr>
    </w:tbl>
    <w:p w14:paraId="0AF36F55" w14:textId="77777777" w:rsidR="00D4513A" w:rsidRDefault="00B43D73" w:rsidP="00B07742">
      <w:pPr>
        <w:spacing w:line="480" w:lineRule="auto"/>
        <w:rPr>
          <w:rFonts w:ascii="Times New Roman" w:hAnsi="Times New Roman" w:cs="Times New Roman"/>
        </w:rPr>
      </w:pPr>
      <w:r w:rsidRPr="00B07742">
        <w:rPr>
          <w:rFonts w:ascii="Times New Roman" w:hAnsi="Times New Roman" w:cs="Times New Roman"/>
        </w:rPr>
        <w:pict w14:anchorId="1261D909"/>
      </w:r>
      <w:r w:rsidRPr="00B07742">
        <w:rPr>
          <w:rFonts w:ascii="Times New Roman" w:hAnsi="Times New Roman" w:cs="Times New Roman"/>
        </w:rPr>
        <w:br/>
        <w:t>All three genes show higher expression in Alzheimer’s patients, with CCL4 displaying the strongest increase across both probes. TEK shows moderate upregulation, while IL17C shows a smaller but consistent rise. Note: CCL4 appears twice because the dataset includes two different probes for the same gene, which is expected and not a duplication error.</w:t>
      </w:r>
    </w:p>
    <w:p w14:paraId="053D20A9" w14:textId="03EF35E6"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 xml:space="preserve">Figure 1. Bar chart of fold change for IL17C, TEK, and CCL4.  </w:t>
      </w:r>
    </w:p>
    <w:p w14:paraId="108C47B0" w14:textId="3FF86E26"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drawing>
          <wp:inline distT="0" distB="0" distL="0" distR="0" wp14:anchorId="389D95E5" wp14:editId="7BF0BB82">
            <wp:extent cx="5187950" cy="3365500"/>
            <wp:effectExtent l="0" t="0" r="0" b="6350"/>
            <wp:docPr id="1321253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87950" cy="3365500"/>
                    </a:xfrm>
                    <a:prstGeom prst="rect">
                      <a:avLst/>
                    </a:prstGeom>
                    <a:noFill/>
                    <a:ln>
                      <a:noFill/>
                    </a:ln>
                  </pic:spPr>
                </pic:pic>
              </a:graphicData>
            </a:graphic>
          </wp:inline>
        </w:drawing>
      </w:r>
    </w:p>
    <w:p w14:paraId="09499E03" w14:textId="2D181BD3"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CCL4 shows the strongest increase, TEK shows moderate upregulation, and IL17C shows a smaller rise.</w:t>
      </w:r>
    </w:p>
    <w:p w14:paraId="676DFA73" w14:textId="185D3686" w:rsidR="00B07742" w:rsidRPr="00B07742" w:rsidRDefault="00B07742" w:rsidP="00B07742">
      <w:pPr>
        <w:spacing w:line="480" w:lineRule="auto"/>
        <w:rPr>
          <w:rFonts w:ascii="Times New Roman" w:hAnsi="Times New Roman" w:cs="Times New Roman"/>
          <w:b/>
          <w:bCs/>
        </w:rPr>
      </w:pPr>
      <w:r w:rsidRPr="00B07742">
        <w:rPr>
          <w:rFonts w:ascii="Times New Roman" w:hAnsi="Times New Roman" w:cs="Times New Roman"/>
          <w:b/>
          <w:bCs/>
        </w:rPr>
        <w:t>Discussion</w:t>
      </w:r>
    </w:p>
    <w:p w14:paraId="013515AD" w14:textId="4912C07B"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lastRenderedPageBreak/>
        <w:t xml:space="preserve">The results indicate that IL17C, TEK, and CCL4 are all upregulated in Alzheimer’s disease. </w:t>
      </w:r>
      <w:r w:rsidR="00D4513A">
        <w:rPr>
          <w:rFonts w:ascii="Times New Roman" w:hAnsi="Times New Roman" w:cs="Times New Roman"/>
        </w:rPr>
        <w:t>CCL4 showed the</w:t>
      </w:r>
      <w:r w:rsidRPr="00B07742">
        <w:rPr>
          <w:rFonts w:ascii="Times New Roman" w:hAnsi="Times New Roman" w:cs="Times New Roman"/>
        </w:rPr>
        <w:t xml:space="preserve"> strongest effect, a chemokine associated with immune activation. This aligns with current research </w:t>
      </w:r>
      <w:r w:rsidR="00454AED">
        <w:rPr>
          <w:rFonts w:ascii="Times New Roman" w:hAnsi="Times New Roman" w:cs="Times New Roman"/>
        </w:rPr>
        <w:t>findings</w:t>
      </w:r>
      <w:r w:rsidRPr="00B07742">
        <w:rPr>
          <w:rFonts w:ascii="Times New Roman" w:hAnsi="Times New Roman" w:cs="Times New Roman"/>
        </w:rPr>
        <w:t xml:space="preserve"> that neuroinflammation plays a major role in AD progression.</w:t>
      </w:r>
      <w:r w:rsidRPr="00B07742">
        <w:rPr>
          <w:rFonts w:ascii="Times New Roman" w:hAnsi="Times New Roman" w:cs="Times New Roman"/>
        </w:rPr>
        <w:t xml:space="preserve"> </w:t>
      </w:r>
      <w:r w:rsidRPr="00B07742">
        <w:rPr>
          <w:rFonts w:ascii="Times New Roman" w:hAnsi="Times New Roman" w:cs="Times New Roman"/>
        </w:rPr>
        <w:t>TEK, a vascular</w:t>
      </w:r>
      <w:r w:rsidRPr="00B07742">
        <w:rPr>
          <w:rFonts w:ascii="Times New Roman" w:hAnsi="Times New Roman" w:cs="Times New Roman"/>
        </w:rPr>
        <w:noBreakHyphen/>
        <w:t xml:space="preserve">related gene, also showed moderate upregulation, supporting the idea that vascular dysfunction contributes to </w:t>
      </w:r>
      <w:r w:rsidR="00454AED">
        <w:rPr>
          <w:rFonts w:ascii="Times New Roman" w:hAnsi="Times New Roman" w:cs="Times New Roman"/>
        </w:rPr>
        <w:t>Alzheimer’s pathology</w:t>
      </w:r>
      <w:r w:rsidRPr="00B07742">
        <w:rPr>
          <w:rFonts w:ascii="Times New Roman" w:hAnsi="Times New Roman" w:cs="Times New Roman"/>
        </w:rPr>
        <w:t xml:space="preserve">. IL17C, although </w:t>
      </w:r>
      <w:proofErr w:type="spellStart"/>
      <w:r w:rsidR="00454AED">
        <w:rPr>
          <w:rFonts w:ascii="Times New Roman" w:hAnsi="Times New Roman" w:cs="Times New Roman"/>
        </w:rPr>
        <w:t>its</w:t>
      </w:r>
      <w:proofErr w:type="spellEnd"/>
      <w:r w:rsidR="00454AED">
        <w:rPr>
          <w:rFonts w:ascii="Times New Roman" w:hAnsi="Times New Roman" w:cs="Times New Roman"/>
        </w:rPr>
        <w:t xml:space="preserve"> regulation was more modest, it</w:t>
      </w:r>
      <w:r w:rsidRPr="00B07742">
        <w:rPr>
          <w:rFonts w:ascii="Times New Roman" w:hAnsi="Times New Roman" w:cs="Times New Roman"/>
        </w:rPr>
        <w:t xml:space="preserve"> still </w:t>
      </w:r>
      <w:r w:rsidR="00454AED">
        <w:rPr>
          <w:rFonts w:ascii="Times New Roman" w:hAnsi="Times New Roman" w:cs="Times New Roman"/>
        </w:rPr>
        <w:t>showed</w:t>
      </w:r>
      <w:r w:rsidRPr="00B07742">
        <w:rPr>
          <w:rFonts w:ascii="Times New Roman" w:hAnsi="Times New Roman" w:cs="Times New Roman"/>
        </w:rPr>
        <w:t xml:space="preserve"> increased expression consistent with immune </w:t>
      </w:r>
      <w:r w:rsidR="00454AED">
        <w:rPr>
          <w:rFonts w:ascii="Times New Roman" w:hAnsi="Times New Roman" w:cs="Times New Roman"/>
        </w:rPr>
        <w:t>signaling</w:t>
      </w:r>
      <w:r w:rsidRPr="00B07742">
        <w:rPr>
          <w:rFonts w:ascii="Times New Roman" w:hAnsi="Times New Roman" w:cs="Times New Roman"/>
        </w:rPr>
        <w:t>.</w:t>
      </w:r>
      <w:r w:rsidRPr="00B07742">
        <w:rPr>
          <w:rFonts w:ascii="Times New Roman" w:hAnsi="Times New Roman" w:cs="Times New Roman"/>
        </w:rPr>
        <w:t xml:space="preserve"> </w:t>
      </w:r>
      <w:r w:rsidRPr="00B07742">
        <w:rPr>
          <w:rFonts w:ascii="Times New Roman" w:hAnsi="Times New Roman" w:cs="Times New Roman"/>
        </w:rPr>
        <w:t>The presence of two CCL4 probe</w:t>
      </w:r>
      <w:r w:rsidR="00454AED">
        <w:rPr>
          <w:rFonts w:ascii="Times New Roman" w:hAnsi="Times New Roman" w:cs="Times New Roman"/>
        </w:rPr>
        <w:t>s shows a consistent upregulation that strengthens the reliability of the findings.</w:t>
      </w:r>
    </w:p>
    <w:p w14:paraId="00FBEB3F" w14:textId="5A39EA55" w:rsidR="00B07742" w:rsidRPr="00B07742" w:rsidRDefault="00B07742" w:rsidP="00B07742">
      <w:pPr>
        <w:spacing w:line="480" w:lineRule="auto"/>
        <w:rPr>
          <w:rFonts w:ascii="Times New Roman" w:hAnsi="Times New Roman" w:cs="Times New Roman"/>
          <w:b/>
          <w:bCs/>
        </w:rPr>
      </w:pPr>
      <w:r w:rsidRPr="00B07742">
        <w:rPr>
          <w:rFonts w:ascii="Times New Roman" w:hAnsi="Times New Roman" w:cs="Times New Roman"/>
          <w:b/>
          <w:bCs/>
        </w:rPr>
        <w:t>Conclusion</w:t>
      </w:r>
    </w:p>
    <w:p w14:paraId="72E38F1F" w14:textId="6A385AB1"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 xml:space="preserve">This analysis </w:t>
      </w:r>
      <w:r w:rsidR="00862916">
        <w:rPr>
          <w:rFonts w:ascii="Times New Roman" w:hAnsi="Times New Roman" w:cs="Times New Roman"/>
        </w:rPr>
        <w:t>identifies</w:t>
      </w:r>
      <w:r w:rsidRPr="00B07742">
        <w:rPr>
          <w:rFonts w:ascii="Times New Roman" w:hAnsi="Times New Roman" w:cs="Times New Roman"/>
        </w:rPr>
        <w:t xml:space="preserve"> consistent upregulation of IL17C, TEK, and </w:t>
      </w:r>
      <w:r w:rsidR="00862916">
        <w:rPr>
          <w:rFonts w:ascii="Times New Roman" w:hAnsi="Times New Roman" w:cs="Times New Roman"/>
        </w:rPr>
        <w:t>most notably</w:t>
      </w:r>
      <w:r w:rsidRPr="00B07742">
        <w:rPr>
          <w:rFonts w:ascii="Times New Roman" w:hAnsi="Times New Roman" w:cs="Times New Roman"/>
        </w:rPr>
        <w:t xml:space="preserve"> CCL4 in Alzheimer’s samples. These findings </w:t>
      </w:r>
      <w:r w:rsidR="00862916">
        <w:rPr>
          <w:rFonts w:ascii="Times New Roman" w:hAnsi="Times New Roman" w:cs="Times New Roman"/>
        </w:rPr>
        <w:t>indicate</w:t>
      </w:r>
      <w:r w:rsidRPr="00B07742">
        <w:rPr>
          <w:rFonts w:ascii="Times New Roman" w:hAnsi="Times New Roman" w:cs="Times New Roman"/>
        </w:rPr>
        <w:t xml:space="preserve"> the </w:t>
      </w:r>
      <w:r w:rsidR="00862916">
        <w:rPr>
          <w:rFonts w:ascii="Times New Roman" w:hAnsi="Times New Roman" w:cs="Times New Roman"/>
        </w:rPr>
        <w:t>role</w:t>
      </w:r>
      <w:r w:rsidRPr="00B07742">
        <w:rPr>
          <w:rFonts w:ascii="Times New Roman" w:hAnsi="Times New Roman" w:cs="Times New Roman"/>
        </w:rPr>
        <w:t xml:space="preserve"> of inflammatory and vascular pathways in Alzheimer’s disease and </w:t>
      </w:r>
      <w:r w:rsidR="00862916">
        <w:rPr>
          <w:rFonts w:ascii="Times New Roman" w:hAnsi="Times New Roman" w:cs="Times New Roman"/>
        </w:rPr>
        <w:t>these genes may serve as useful starting point for further study</w:t>
      </w:r>
      <w:r w:rsidRPr="00B07742">
        <w:rPr>
          <w:rFonts w:ascii="Times New Roman" w:hAnsi="Times New Roman" w:cs="Times New Roman"/>
        </w:rPr>
        <w:t>. Future work could expand this analysis to additional genes</w:t>
      </w:r>
      <w:r w:rsidR="00862916">
        <w:rPr>
          <w:rFonts w:ascii="Times New Roman" w:hAnsi="Times New Roman" w:cs="Times New Roman"/>
        </w:rPr>
        <w:t xml:space="preserve"> as well</w:t>
      </w:r>
      <w:r w:rsidRPr="00B07742">
        <w:rPr>
          <w:rFonts w:ascii="Times New Roman" w:hAnsi="Times New Roman" w:cs="Times New Roman"/>
        </w:rPr>
        <w:t>.</w:t>
      </w:r>
    </w:p>
    <w:p w14:paraId="14DED06B" w14:textId="77777777" w:rsidR="00B07742" w:rsidRPr="00B07742" w:rsidRDefault="00B07742" w:rsidP="00B07742">
      <w:pPr>
        <w:spacing w:line="480" w:lineRule="auto"/>
        <w:rPr>
          <w:rFonts w:ascii="Times New Roman" w:hAnsi="Times New Roman" w:cs="Times New Roman"/>
        </w:rPr>
      </w:pPr>
    </w:p>
    <w:p w14:paraId="4A1F0D93" w14:textId="77777777" w:rsidR="00B07742" w:rsidRPr="00B07742" w:rsidRDefault="00B07742" w:rsidP="00B07742">
      <w:pPr>
        <w:spacing w:line="480" w:lineRule="auto"/>
        <w:rPr>
          <w:rFonts w:ascii="Times New Roman" w:hAnsi="Times New Roman" w:cs="Times New Roman"/>
        </w:rPr>
      </w:pPr>
    </w:p>
    <w:p w14:paraId="75C61255" w14:textId="77777777" w:rsidR="00B07742" w:rsidRDefault="00B07742" w:rsidP="00B07742">
      <w:pPr>
        <w:spacing w:line="480" w:lineRule="auto"/>
        <w:rPr>
          <w:rFonts w:ascii="Times New Roman" w:hAnsi="Times New Roman" w:cs="Times New Roman"/>
        </w:rPr>
      </w:pPr>
    </w:p>
    <w:p w14:paraId="11E60B82" w14:textId="77777777" w:rsidR="00454AED" w:rsidRDefault="00454AED" w:rsidP="00B07742">
      <w:pPr>
        <w:spacing w:line="480" w:lineRule="auto"/>
        <w:rPr>
          <w:rFonts w:ascii="Times New Roman" w:hAnsi="Times New Roman" w:cs="Times New Roman"/>
        </w:rPr>
      </w:pPr>
    </w:p>
    <w:p w14:paraId="5901FAAD" w14:textId="77777777" w:rsidR="00454AED" w:rsidRDefault="00454AED" w:rsidP="00B07742">
      <w:pPr>
        <w:spacing w:line="480" w:lineRule="auto"/>
        <w:rPr>
          <w:rFonts w:ascii="Times New Roman" w:hAnsi="Times New Roman" w:cs="Times New Roman"/>
        </w:rPr>
      </w:pPr>
    </w:p>
    <w:p w14:paraId="1B470101" w14:textId="77777777" w:rsidR="00454AED" w:rsidRDefault="00454AED" w:rsidP="00B07742">
      <w:pPr>
        <w:spacing w:line="480" w:lineRule="auto"/>
        <w:rPr>
          <w:rFonts w:ascii="Times New Roman" w:hAnsi="Times New Roman" w:cs="Times New Roman"/>
        </w:rPr>
      </w:pPr>
    </w:p>
    <w:p w14:paraId="6E0616B4" w14:textId="77777777" w:rsidR="00454AED" w:rsidRDefault="00454AED" w:rsidP="00B07742">
      <w:pPr>
        <w:spacing w:line="480" w:lineRule="auto"/>
        <w:rPr>
          <w:rFonts w:ascii="Times New Roman" w:hAnsi="Times New Roman" w:cs="Times New Roman"/>
        </w:rPr>
      </w:pPr>
    </w:p>
    <w:p w14:paraId="318AA0A4" w14:textId="77777777" w:rsidR="00454AED" w:rsidRDefault="00454AED" w:rsidP="00B07742">
      <w:pPr>
        <w:spacing w:line="480" w:lineRule="auto"/>
        <w:rPr>
          <w:rFonts w:ascii="Times New Roman" w:hAnsi="Times New Roman" w:cs="Times New Roman"/>
        </w:rPr>
      </w:pPr>
    </w:p>
    <w:p w14:paraId="5446F1D9" w14:textId="3768FC7F" w:rsidR="00B07742" w:rsidRPr="00B07742" w:rsidRDefault="00B07742" w:rsidP="00B07742">
      <w:pPr>
        <w:spacing w:line="480" w:lineRule="auto"/>
        <w:jc w:val="center"/>
        <w:rPr>
          <w:rFonts w:ascii="Times New Roman" w:hAnsi="Times New Roman" w:cs="Times New Roman"/>
          <w:b/>
          <w:bCs/>
        </w:rPr>
      </w:pPr>
      <w:r w:rsidRPr="00B07742">
        <w:rPr>
          <w:rFonts w:ascii="Times New Roman" w:hAnsi="Times New Roman" w:cs="Times New Roman"/>
          <w:b/>
          <w:bCs/>
        </w:rPr>
        <w:lastRenderedPageBreak/>
        <w:t>References</w:t>
      </w:r>
    </w:p>
    <w:p w14:paraId="68594772" w14:textId="77777777" w:rsidR="00B07742" w:rsidRPr="00B07742" w:rsidRDefault="00B07742" w:rsidP="00B07742">
      <w:pPr>
        <w:spacing w:line="480" w:lineRule="auto"/>
        <w:rPr>
          <w:rFonts w:ascii="Times New Roman" w:hAnsi="Times New Roman" w:cs="Times New Roman"/>
        </w:rPr>
      </w:pPr>
      <w:r w:rsidRPr="00B07742">
        <w:rPr>
          <w:rFonts w:ascii="Times New Roman" w:hAnsi="Times New Roman" w:cs="Times New Roman"/>
        </w:rPr>
        <w:t>Abed, S., Ebrahimi, A., Fattahi, F., Shekari-</w:t>
      </w:r>
      <w:proofErr w:type="spellStart"/>
      <w:r w:rsidRPr="00B07742">
        <w:rPr>
          <w:rFonts w:ascii="Times New Roman" w:hAnsi="Times New Roman" w:cs="Times New Roman"/>
        </w:rPr>
        <w:t>Khaniani</w:t>
      </w:r>
      <w:proofErr w:type="spellEnd"/>
      <w:r w:rsidRPr="00B07742">
        <w:rPr>
          <w:rFonts w:ascii="Times New Roman" w:hAnsi="Times New Roman" w:cs="Times New Roman"/>
        </w:rPr>
        <w:t>, M., &amp; Mansoori Derakhshan, S. (2025). Revolutionizing Alzheimer’s Detection: Immune-Related Gene Biomarkers as Non-Invasive Predictors. Molecular Neurobiology, 62(9), 11517–11528. </w:t>
      </w:r>
      <w:hyperlink r:id="rId6" w:tgtFrame="_blank" w:history="1">
        <w:r w:rsidRPr="00B07742">
          <w:rPr>
            <w:rStyle w:val="Hyperlink"/>
            <w:rFonts w:ascii="Times New Roman" w:hAnsi="Times New Roman" w:cs="Times New Roman"/>
          </w:rPr>
          <w:t>https://doi.org/10.1007/s12035-025-04970-x</w:t>
        </w:r>
      </w:hyperlink>
    </w:p>
    <w:p w14:paraId="4416E1E4" w14:textId="77777777" w:rsidR="00B07742" w:rsidRPr="00B07742" w:rsidRDefault="00B07742" w:rsidP="00B07742">
      <w:pPr>
        <w:spacing w:line="480" w:lineRule="auto"/>
        <w:rPr>
          <w:rFonts w:ascii="Times New Roman" w:hAnsi="Times New Roman" w:cs="Times New Roman"/>
        </w:rPr>
      </w:pPr>
      <w:hyperlink r:id="rId7" w:tgtFrame="_blank" w:history="1">
        <w:r w:rsidRPr="00B07742">
          <w:rPr>
            <w:rStyle w:val="Hyperlink"/>
            <w:rFonts w:ascii="Times New Roman" w:hAnsi="Times New Roman" w:cs="Times New Roman"/>
          </w:rPr>
          <w:t>https://ftp.ebi.ac.uk/biostudies/fire/E-MTAB-/094/E-MTAB-6094/Files/Norm_NR.txt</w:t>
        </w:r>
      </w:hyperlink>
    </w:p>
    <w:p w14:paraId="391CBC31" w14:textId="69E1FA00" w:rsidR="00B07742" w:rsidRPr="00B07742" w:rsidRDefault="00862916" w:rsidP="00B07742">
      <w:pPr>
        <w:spacing w:line="480" w:lineRule="auto"/>
        <w:rPr>
          <w:rFonts w:ascii="Times New Roman" w:hAnsi="Times New Roman" w:cs="Times New Roman"/>
        </w:rPr>
      </w:pPr>
      <w:hyperlink r:id="rId8" w:history="1">
        <w:r w:rsidRPr="00862916">
          <w:rPr>
            <w:rStyle w:val="Hyperlink"/>
            <w:rFonts w:ascii="Times New Roman" w:hAnsi="Times New Roman" w:cs="Times New Roman"/>
          </w:rPr>
          <w:t>Python for Biologists</w:t>
        </w:r>
      </w:hyperlink>
    </w:p>
    <w:sectPr w:rsidR="00B07742" w:rsidRPr="00B07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21D9"/>
    <w:multiLevelType w:val="multilevel"/>
    <w:tmpl w:val="6DD8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038F"/>
    <w:multiLevelType w:val="multilevel"/>
    <w:tmpl w:val="50D4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A4125"/>
    <w:multiLevelType w:val="multilevel"/>
    <w:tmpl w:val="E0B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E13AF"/>
    <w:multiLevelType w:val="multilevel"/>
    <w:tmpl w:val="A75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C151D"/>
    <w:multiLevelType w:val="multilevel"/>
    <w:tmpl w:val="52A2A9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339BE"/>
    <w:multiLevelType w:val="multilevel"/>
    <w:tmpl w:val="C4EE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57851"/>
    <w:multiLevelType w:val="multilevel"/>
    <w:tmpl w:val="22E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4265D"/>
    <w:multiLevelType w:val="multilevel"/>
    <w:tmpl w:val="E1B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F4340"/>
    <w:multiLevelType w:val="multilevel"/>
    <w:tmpl w:val="3DF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D0F62"/>
    <w:multiLevelType w:val="multilevel"/>
    <w:tmpl w:val="92C4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31245"/>
    <w:multiLevelType w:val="multilevel"/>
    <w:tmpl w:val="277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72F89"/>
    <w:multiLevelType w:val="multilevel"/>
    <w:tmpl w:val="8C52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C204E"/>
    <w:multiLevelType w:val="multilevel"/>
    <w:tmpl w:val="141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56D49"/>
    <w:multiLevelType w:val="multilevel"/>
    <w:tmpl w:val="CD4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66FC9"/>
    <w:multiLevelType w:val="multilevel"/>
    <w:tmpl w:val="9BE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91F24"/>
    <w:multiLevelType w:val="multilevel"/>
    <w:tmpl w:val="B168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F3B02"/>
    <w:multiLevelType w:val="multilevel"/>
    <w:tmpl w:val="E17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22453"/>
    <w:multiLevelType w:val="multilevel"/>
    <w:tmpl w:val="6A4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A0613"/>
    <w:multiLevelType w:val="multilevel"/>
    <w:tmpl w:val="67F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C384D"/>
    <w:multiLevelType w:val="multilevel"/>
    <w:tmpl w:val="49D4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D4141A"/>
    <w:multiLevelType w:val="multilevel"/>
    <w:tmpl w:val="A72C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A7031"/>
    <w:multiLevelType w:val="multilevel"/>
    <w:tmpl w:val="9A6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976066">
    <w:abstractNumId w:val="5"/>
  </w:num>
  <w:num w:numId="2" w16cid:durableId="1349213896">
    <w:abstractNumId w:val="6"/>
  </w:num>
  <w:num w:numId="3" w16cid:durableId="461849659">
    <w:abstractNumId w:val="14"/>
  </w:num>
  <w:num w:numId="4" w16cid:durableId="1636452782">
    <w:abstractNumId w:val="13"/>
  </w:num>
  <w:num w:numId="5" w16cid:durableId="1200438051">
    <w:abstractNumId w:val="11"/>
  </w:num>
  <w:num w:numId="6" w16cid:durableId="72093539">
    <w:abstractNumId w:val="17"/>
  </w:num>
  <w:num w:numId="7" w16cid:durableId="1946308922">
    <w:abstractNumId w:val="18"/>
  </w:num>
  <w:num w:numId="8" w16cid:durableId="1879196991">
    <w:abstractNumId w:val="16"/>
  </w:num>
  <w:num w:numId="9" w16cid:durableId="1879077451">
    <w:abstractNumId w:val="7"/>
  </w:num>
  <w:num w:numId="10" w16cid:durableId="486941440">
    <w:abstractNumId w:val="12"/>
  </w:num>
  <w:num w:numId="11" w16cid:durableId="1202477576">
    <w:abstractNumId w:val="15"/>
  </w:num>
  <w:num w:numId="12" w16cid:durableId="1768455908">
    <w:abstractNumId w:val="3"/>
  </w:num>
  <w:num w:numId="13" w16cid:durableId="190462399">
    <w:abstractNumId w:val="10"/>
  </w:num>
  <w:num w:numId="14" w16cid:durableId="840779301">
    <w:abstractNumId w:val="0"/>
  </w:num>
  <w:num w:numId="15" w16cid:durableId="591352917">
    <w:abstractNumId w:val="9"/>
  </w:num>
  <w:num w:numId="16" w16cid:durableId="1597131203">
    <w:abstractNumId w:val="2"/>
  </w:num>
  <w:num w:numId="17" w16cid:durableId="483201270">
    <w:abstractNumId w:val="20"/>
  </w:num>
  <w:num w:numId="18" w16cid:durableId="584191121">
    <w:abstractNumId w:val="19"/>
  </w:num>
  <w:num w:numId="19" w16cid:durableId="929972707">
    <w:abstractNumId w:val="21"/>
  </w:num>
  <w:num w:numId="20" w16cid:durableId="1792437077">
    <w:abstractNumId w:val="8"/>
  </w:num>
  <w:num w:numId="21" w16cid:durableId="212230288">
    <w:abstractNumId w:val="4"/>
  </w:num>
  <w:num w:numId="22" w16cid:durableId="1003125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73"/>
    <w:rsid w:val="000B39FE"/>
    <w:rsid w:val="00454AED"/>
    <w:rsid w:val="00862916"/>
    <w:rsid w:val="009A41B3"/>
    <w:rsid w:val="009B5FA9"/>
    <w:rsid w:val="00B07742"/>
    <w:rsid w:val="00B43D73"/>
    <w:rsid w:val="00D45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176B5"/>
  <w15:chartTrackingRefBased/>
  <w15:docId w15:val="{B1B97CBD-6AE7-400E-841A-EAFCB9DE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3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3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D73"/>
    <w:rPr>
      <w:rFonts w:eastAsiaTheme="majorEastAsia" w:cstheme="majorBidi"/>
      <w:color w:val="272727" w:themeColor="text1" w:themeTint="D8"/>
    </w:rPr>
  </w:style>
  <w:style w:type="paragraph" w:styleId="Title">
    <w:name w:val="Title"/>
    <w:basedOn w:val="Normal"/>
    <w:next w:val="Normal"/>
    <w:link w:val="TitleChar"/>
    <w:uiPriority w:val="10"/>
    <w:qFormat/>
    <w:rsid w:val="00B43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D73"/>
    <w:pPr>
      <w:spacing w:before="160"/>
      <w:jc w:val="center"/>
    </w:pPr>
    <w:rPr>
      <w:i/>
      <w:iCs/>
      <w:color w:val="404040" w:themeColor="text1" w:themeTint="BF"/>
    </w:rPr>
  </w:style>
  <w:style w:type="character" w:customStyle="1" w:styleId="QuoteChar">
    <w:name w:val="Quote Char"/>
    <w:basedOn w:val="DefaultParagraphFont"/>
    <w:link w:val="Quote"/>
    <w:uiPriority w:val="29"/>
    <w:rsid w:val="00B43D73"/>
    <w:rPr>
      <w:i/>
      <w:iCs/>
      <w:color w:val="404040" w:themeColor="text1" w:themeTint="BF"/>
    </w:rPr>
  </w:style>
  <w:style w:type="paragraph" w:styleId="ListParagraph">
    <w:name w:val="List Paragraph"/>
    <w:basedOn w:val="Normal"/>
    <w:uiPriority w:val="34"/>
    <w:qFormat/>
    <w:rsid w:val="00B43D73"/>
    <w:pPr>
      <w:ind w:left="720"/>
      <w:contextualSpacing/>
    </w:pPr>
  </w:style>
  <w:style w:type="character" w:styleId="IntenseEmphasis">
    <w:name w:val="Intense Emphasis"/>
    <w:basedOn w:val="DefaultParagraphFont"/>
    <w:uiPriority w:val="21"/>
    <w:qFormat/>
    <w:rsid w:val="00B43D73"/>
    <w:rPr>
      <w:i/>
      <w:iCs/>
      <w:color w:val="0F4761" w:themeColor="accent1" w:themeShade="BF"/>
    </w:rPr>
  </w:style>
  <w:style w:type="paragraph" w:styleId="IntenseQuote">
    <w:name w:val="Intense Quote"/>
    <w:basedOn w:val="Normal"/>
    <w:next w:val="Normal"/>
    <w:link w:val="IntenseQuoteChar"/>
    <w:uiPriority w:val="30"/>
    <w:qFormat/>
    <w:rsid w:val="00B43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D73"/>
    <w:rPr>
      <w:i/>
      <w:iCs/>
      <w:color w:val="0F4761" w:themeColor="accent1" w:themeShade="BF"/>
    </w:rPr>
  </w:style>
  <w:style w:type="character" w:styleId="IntenseReference">
    <w:name w:val="Intense Reference"/>
    <w:basedOn w:val="DefaultParagraphFont"/>
    <w:uiPriority w:val="32"/>
    <w:qFormat/>
    <w:rsid w:val="00B43D73"/>
    <w:rPr>
      <w:b/>
      <w:bCs/>
      <w:smallCaps/>
      <w:color w:val="0F4761" w:themeColor="accent1" w:themeShade="BF"/>
      <w:spacing w:val="5"/>
    </w:rPr>
  </w:style>
  <w:style w:type="character" w:styleId="Hyperlink">
    <w:name w:val="Hyperlink"/>
    <w:basedOn w:val="DefaultParagraphFont"/>
    <w:uiPriority w:val="99"/>
    <w:unhideWhenUsed/>
    <w:rsid w:val="00B43D73"/>
    <w:rPr>
      <w:color w:val="467886" w:themeColor="hyperlink"/>
      <w:u w:val="single"/>
    </w:rPr>
  </w:style>
  <w:style w:type="character" w:styleId="UnresolvedMention">
    <w:name w:val="Unresolved Mention"/>
    <w:basedOn w:val="DefaultParagraphFont"/>
    <w:uiPriority w:val="99"/>
    <w:semiHidden/>
    <w:unhideWhenUsed/>
    <w:rsid w:val="00B43D73"/>
    <w:rPr>
      <w:color w:val="605E5C"/>
      <w:shd w:val="clear" w:color="auto" w:fill="E1DFDD"/>
    </w:rPr>
  </w:style>
  <w:style w:type="paragraph" w:styleId="NormalWeb">
    <w:name w:val="Normal (Web)"/>
    <w:basedOn w:val="Normal"/>
    <w:uiPriority w:val="99"/>
    <w:semiHidden/>
    <w:unhideWhenUsed/>
    <w:rsid w:val="00B43D73"/>
    <w:rPr>
      <w:rFonts w:ascii="Times New Roman" w:hAnsi="Times New Roman" w:cs="Times New Roman"/>
    </w:rPr>
  </w:style>
  <w:style w:type="character" w:styleId="Strong">
    <w:name w:val="Strong"/>
    <w:basedOn w:val="DefaultParagraphFont"/>
    <w:uiPriority w:val="22"/>
    <w:qFormat/>
    <w:rsid w:val="00B43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forbiologists.org/" TargetMode="External"/><Relationship Id="rId3" Type="http://schemas.openxmlformats.org/officeDocument/2006/relationships/settings" Target="settings.xml"/><Relationship Id="rId7" Type="http://schemas.openxmlformats.org/officeDocument/2006/relationships/hyperlink" Target="https://www.google.com/url?q=https%3A%2F%2Fftp.ebi.ac.uk%2Fbiostudies%2Ffire%2FE-MTAB-%2F094%2FE-MTAB-6094%2FFiles%2FNorm_NR.t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3A%2F%2Fdoi.org%2F10.1007%2Fs12035-025-04970-x"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Akhter Noya</dc:creator>
  <cp:keywords/>
  <dc:description/>
  <cp:lastModifiedBy>Safa Akhter Noya</cp:lastModifiedBy>
  <cp:revision>1</cp:revision>
  <dcterms:created xsi:type="dcterms:W3CDTF">2026-05-13T19:35:00Z</dcterms:created>
  <dcterms:modified xsi:type="dcterms:W3CDTF">2026-05-13T20:46:00Z</dcterms:modified>
</cp:coreProperties>
</file>