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200"/>
        <w:jc w:val="left"/>
      </w:pPr>
      <w:r>
        <w:rPr>
          <w:rFonts w:ascii="Aptos" w:hAnsi="Aptos"/>
          <w:b/>
          <w:i w:val="0"/>
          <w:color w:val="12111A"/>
          <w:sz w:val="60"/>
        </w:rPr>
        <w:t>AI Prompt Grid</w:t>
      </w:r>
    </w:p>
    <w:p>
      <w:pPr>
        <w:pStyle w:val="Subtitle"/>
        <w:spacing w:after="400"/>
      </w:pPr>
      <w:r>
        <w:rPr>
          <w:rFonts w:ascii="Aptos" w:hAnsi="Aptos"/>
          <w:b w:val="0"/>
          <w:i w:val="0"/>
          <w:color w:val="7657E6"/>
          <w:sz w:val="34"/>
        </w:rPr>
        <w:t>V0 Product Specification</w:t>
      </w:r>
    </w:p>
    <w:p>
      <w:pPr>
        <w:spacing w:before="0" w:after="200" w:line="276" w:lineRule="auto"/>
      </w:pPr>
      <w:r>
        <w:rPr>
          <w:rFonts w:ascii="Aptos" w:hAnsi="Aptos"/>
          <w:b w:val="0"/>
          <w:i w:val="0"/>
          <w:color w:val="5D5A6D"/>
          <w:sz w:val="24"/>
        </w:rPr>
        <w:t>A build-ready scope for the private beta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Prepared for</w:t>
            </w:r>
          </w:p>
        </w:tc>
        <w:tc>
          <w:tcPr>
            <w:tcW w:type="dxa" w:w="3168"/>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Release covered</w:t>
            </w:r>
          </w:p>
        </w:tc>
        <w:tc>
          <w:tcPr>
            <w:tcW w:type="dxa" w:w="3096"/>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Document date</w:t>
            </w:r>
          </w:p>
        </w:tc>
      </w:tr>
      <w:tr>
        <w:trPr>
          <w:cantSplit/>
        </w:trPr>
        <w:tc>
          <w:tcPr>
            <w:tcW w:type="dxa" w:w="302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M Saad Masood</w:t>
            </w:r>
          </w:p>
        </w:tc>
        <w:tc>
          <w:tcPr>
            <w:tcW w:type="dxa" w:w="316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V0 functional beta</w:t>
            </w:r>
          </w:p>
        </w:tc>
        <w:tc>
          <w:tcPr>
            <w:tcW w:type="dxa" w:w="309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20 September 2026</w:t>
            </w:r>
          </w:p>
        </w:tc>
      </w:tr>
    </w:tbl>
    <w:p>
      <w:pPr>
        <w:spacing w:after="20"/>
      </w:pPr>
    </w:p>
    <w:p>
      <w:pPr>
        <w:spacing w:before="400" w:after="80" w:line="276" w:lineRule="auto"/>
      </w:pPr>
      <w:r>
        <w:rPr>
          <w:rFonts w:ascii="Aptos" w:hAnsi="Aptos"/>
          <w:b/>
          <w:i w:val="0"/>
          <w:color w:val="12111A"/>
          <w:sz w:val="24"/>
        </w:rPr>
        <w:t>Purpose</w:t>
      </w:r>
    </w:p>
    <w:p>
      <w:pPr>
        <w:spacing w:before="0" w:after="160" w:line="276" w:lineRule="auto"/>
      </w:pPr>
      <w:r>
        <w:rPr>
          <w:rFonts w:ascii="Aptos" w:hAnsi="Aptos"/>
          <w:b w:val="0"/>
          <w:i w:val="0"/>
          <w:color w:val="12111A"/>
          <w:sz w:val="21"/>
        </w:rPr>
        <w:t>This document turns the approved prototype into a clear V0 product contract. It defines the exact user outcome, product boundaries, user journeys, content rules, data requirements, privacy controls, and acceptance criteria to complete before public beta testing.</w:t>
      </w:r>
    </w:p>
    <w:p>
      <w:pPr>
        <w:spacing w:before="200" w:after="80" w:line="276" w:lineRule="auto"/>
      </w:pPr>
      <w:r>
        <w:rPr>
          <w:rFonts w:ascii="Aptos" w:hAnsi="Aptos"/>
          <w:b/>
          <w:i w:val="0"/>
          <w:color w:val="12111A"/>
          <w:sz w:val="24"/>
        </w:rPr>
        <w:t>Product decision</w:t>
      </w:r>
    </w:p>
    <w:p>
      <w:pPr>
        <w:spacing w:before="0" w:after="0" w:line="276" w:lineRule="auto"/>
      </w:pPr>
      <w:r>
        <w:rPr>
          <w:rFonts w:ascii="Aptos" w:hAnsi="Aptos"/>
          <w:b w:val="0"/>
          <w:i w:val="0"/>
          <w:color w:val="12111A"/>
          <w:sz w:val="21"/>
        </w:rPr>
        <w:t>AI Prompt Grid helps people transform photos they already own. In V0, the transformation occurs in an external AI image-editing tool. AI Prompt Grid provides the trusted style recipe, the right instructions, and a private place to save the result.</w:t>
      </w:r>
    </w:p>
    <w:p>
      <w:r>
        <w:br w:type="page"/>
      </w:r>
    </w:p>
    <w:p>
      <w:pPr>
        <w:pStyle w:val="Heading1"/>
        <w:spacing w:before="280" w:after="100"/>
        <w:keepNext/>
      </w:pPr>
      <w:r>
        <w:rPr>
          <w:rFonts w:ascii="Aptos" w:hAnsi="Aptos"/>
          <w:b/>
          <w:i w:val="0"/>
          <w:color w:val="12111A"/>
          <w:sz w:val="32"/>
        </w:rPr>
        <w:t>1 Product Definition</w:t>
      </w:r>
    </w:p>
    <w:p>
      <w:pPr>
        <w:spacing w:before="0" w:after="140" w:line="276" w:lineRule="auto"/>
      </w:pPr>
      <w:r>
        <w:rPr>
          <w:rFonts w:ascii="Aptos" w:hAnsi="Aptos"/>
          <w:b w:val="0"/>
          <w:i w:val="0"/>
          <w:color w:val="12111A"/>
          <w:sz w:val="21"/>
        </w:rPr>
        <w:t>AI Prompt Grid is a visual library of tested photo-transformation recipes. A visitor chooses a desired look, checks genuine before-and-after evidence, reads source-photo guidance, customizes the prompt, and applies it in a compatible external AI editing tool. Sign-in is optional until the visitor wants to save a style or keep a private creation.</w:t>
      </w:r>
    </w:p>
    <w:p>
      <w:pPr>
        <w:pStyle w:val="Heading2"/>
        <w:spacing w:before="160" w:after="100"/>
        <w:keepNext/>
      </w:pPr>
      <w:r>
        <w:rPr>
          <w:rFonts w:ascii="Aptos" w:hAnsi="Aptos"/>
          <w:b/>
          <w:i w:val="0"/>
          <w:color w:val="12111A"/>
          <w:sz w:val="24"/>
        </w:rPr>
        <w:t>V0 outcome</w:t>
      </w:r>
    </w:p>
    <w:p>
      <w:pPr>
        <w:spacing w:before="0" w:after="140" w:line="276" w:lineRule="auto"/>
      </w:pPr>
      <w:r>
        <w:rPr>
          <w:rFonts w:ascii="Aptos" w:hAnsi="Aptos"/>
          <w:b w:val="0"/>
          <w:i w:val="0"/>
          <w:color w:val="12111A"/>
          <w:sz w:val="21"/>
        </w:rPr>
        <w:t>A small group of testers can complete the full workflow without help: find an appropriate style for an existing photo, copy a complete prompt, use it externally, and return to save the final image and exact prompt into a private library.</w:t>
      </w:r>
    </w:p>
    <w:p>
      <w:pPr>
        <w:pStyle w:val="Heading2"/>
        <w:spacing w:before="160" w:after="100"/>
        <w:keepNext/>
      </w:pPr>
      <w:r>
        <w:rPr>
          <w:rFonts w:ascii="Aptos" w:hAnsi="Aptos"/>
          <w:b/>
          <w:i w:val="0"/>
          <w:color w:val="12111A"/>
          <w:sz w:val="24"/>
        </w:rPr>
        <w:t>Product language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Term</w:t>
            </w:r>
          </w:p>
        </w:tc>
        <w:tc>
          <w:tcPr>
            <w:tcW w:type="dxa" w:w="7200"/>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Meaning in V0</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Style</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 reusable visual recipe for transforming an existing photo.</w:t>
            </w:r>
          </w:p>
        </w:tc>
      </w:tr>
      <w:tr>
        <w:trPr>
          <w:cantSplit/>
        </w:trPr>
        <w:tc>
          <w:tcPr>
            <w:tcW w:type="dxa" w:w="208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Prompt variant</w:t>
            </w:r>
          </w:p>
        </w:tc>
        <w:tc>
          <w:tcPr>
            <w:tcW w:type="dxa" w:w="72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 tested instruction for one tool and editing mode, with its own version and settings.</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Creation</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 private result image a signed-in user saves after using an external tool.</w:t>
            </w:r>
          </w:p>
        </w:tc>
      </w:tr>
      <w:tr>
        <w:trPr>
          <w:cantSplit/>
        </w:trPr>
        <w:tc>
          <w:tcPr>
            <w:tcW w:type="dxa" w:w="208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Collection</w:t>
            </w:r>
          </w:p>
        </w:tc>
        <w:tc>
          <w:tcPr>
            <w:tcW w:type="dxa" w:w="72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 named private group of saved styles.</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Photo pair</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An authorized source image and its transformed result used as catalog evidence.</w:t>
            </w:r>
          </w:p>
        </w:tc>
      </w:tr>
    </w:tbl>
    <w:p>
      <w:pPr>
        <w:spacing w:after="20"/>
      </w:pPr>
    </w:p>
    <w:p>
      <w:pPr>
        <w:pStyle w:val="Heading1"/>
        <w:spacing w:before="280" w:after="100"/>
        <w:keepNext/>
      </w:pPr>
      <w:r>
        <w:rPr>
          <w:rFonts w:ascii="Aptos" w:hAnsi="Aptos"/>
          <w:b/>
          <w:i w:val="0"/>
          <w:color w:val="12111A"/>
          <w:sz w:val="32"/>
        </w:rPr>
        <w:t>2 V0 Scope and Boundaries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636"/>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Included in V0</w:t>
            </w:r>
          </w:p>
        </w:tc>
        <w:tc>
          <w:tcPr>
            <w:tcW w:type="dxa" w:w="4636"/>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Explicitly excluded from V0</w:t>
            </w:r>
          </w:p>
        </w:tc>
      </w:tr>
      <w:tr>
        <w:trPr>
          <w:cantSplit/>
        </w:trPr>
        <w:tc>
          <w:tcPr>
            <w:tcW w:type="dxa" w:w="463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Public catalog with 12 to 20 genuinely tested styles</w:t>
            </w:r>
          </w:p>
        </w:tc>
        <w:tc>
          <w:tcPr>
            <w:tcW w:type="dxa" w:w="463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Onsite AI image generation or image-editing jobs</w:t>
            </w:r>
          </w:p>
        </w:tc>
      </w:tr>
      <w:tr>
        <w:trPr>
          <w:cantSplit/>
        </w:trPr>
        <w:tc>
          <w:tcPr>
            <w:tcW w:type="dxa" w:w="463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Search, category, subject, edit-intent and tool filters</w:t>
            </w:r>
          </w:p>
        </w:tc>
        <w:tc>
          <w:tcPr>
            <w:tcW w:type="dxa" w:w="463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Video prompts, video uploads or photo-to-video workflows</w:t>
            </w:r>
          </w:p>
        </w:tc>
      </w:tr>
      <w:tr>
        <w:trPr>
          <w:cantSplit/>
        </w:trPr>
        <w:tc>
          <w:tcPr>
            <w:tcW w:type="dxa" w:w="463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Style detail pages with prompts, photo requirements and tool instructions</w:t>
            </w:r>
          </w:p>
        </w:tc>
        <w:tc>
          <w:tcPr>
            <w:tcW w:type="dxa" w:w="463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Payments, subscriptions, credits and advertising</w:t>
            </w:r>
          </w:p>
        </w:tc>
      </w:tr>
      <w:tr>
        <w:trPr>
          <w:cantSplit/>
        </w:trPr>
        <w:tc>
          <w:tcPr>
            <w:tcW w:type="dxa" w:w="463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Google OAuth and email magic-link authentication</w:t>
            </w:r>
          </w:p>
        </w:tc>
        <w:tc>
          <w:tcPr>
            <w:tcW w:type="dxa" w:w="463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Public user profiles, galleries, comments, likes or follows</w:t>
            </w:r>
          </w:p>
        </w:tc>
      </w:tr>
      <w:tr>
        <w:trPr>
          <w:cantSplit/>
        </w:trPr>
        <w:tc>
          <w:tcPr>
            <w:tcW w:type="dxa" w:w="463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Private saved styles, collections and saved creations</w:t>
            </w:r>
          </w:p>
        </w:tc>
        <w:tc>
          <w:tcPr>
            <w:tcW w:type="dxa" w:w="463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User-submitted public prompts or a creator marketplace</w:t>
            </w:r>
          </w:p>
        </w:tc>
      </w:tr>
      <w:tr>
        <w:trPr>
          <w:cantSplit/>
        </w:trPr>
        <w:tc>
          <w:tcPr>
            <w:tcW w:type="dxa" w:w="463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Private result upload with optional source and prompt snapshot</w:t>
            </w:r>
          </w:p>
        </w:tc>
        <w:tc>
          <w:tcPr>
            <w:tcW w:type="dxa" w:w="463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Automatic import from other image tools or complex integrations</w:t>
            </w:r>
          </w:p>
        </w:tc>
      </w:tr>
      <w:tr>
        <w:trPr>
          <w:cantSplit/>
        </w:trPr>
        <w:tc>
          <w:tcPr>
            <w:tcW w:type="dxa" w:w="463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Protected editorial publishing workflow and basic operations</w:t>
            </w:r>
          </w:p>
        </w:tc>
        <w:tc>
          <w:tcPr>
            <w:tcW w:type="dxa" w:w="463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Teams, shared workspaces or collaboration permissions</w:t>
            </w:r>
          </w:p>
        </w:tc>
      </w:tr>
    </w:tbl>
    <w:p>
      <w:pPr>
        <w:spacing w:after="20"/>
      </w:pPr>
    </w:p>
    <w:p>
      <w:pPr>
        <w:pStyle w:val="Heading2"/>
        <w:spacing w:before="160" w:after="100"/>
        <w:keepNext/>
      </w:pPr>
      <w:r>
        <w:rPr>
          <w:rFonts w:ascii="Aptos" w:hAnsi="Aptos"/>
          <w:b/>
          <w:i w:val="0"/>
          <w:color w:val="12111A"/>
          <w:sz w:val="24"/>
        </w:rPr>
        <w:t>Release principle</w:t>
      </w:r>
    </w:p>
    <w:p>
      <w:pPr>
        <w:spacing w:before="0" w:after="140" w:line="276" w:lineRule="auto"/>
      </w:pPr>
      <w:r>
        <w:rPr>
          <w:rFonts w:ascii="Aptos" w:hAnsi="Aptos"/>
          <w:b w:val="0"/>
          <w:i w:val="0"/>
          <w:color w:val="12111A"/>
          <w:sz w:val="21"/>
        </w:rPr>
        <w:t>Browsing and copying must be useful to guests. Accounts should unlock value rather than block discovery. Do not present the V0 upload control as a way to generate or transform an image; it stores a result the user has already created elsewhere.</w:t>
      </w:r>
    </w:p>
    <w:p>
      <w:pPr>
        <w:pStyle w:val="Heading1"/>
        <w:spacing w:before="280" w:after="100"/>
        <w:keepNext/>
      </w:pPr>
      <w:r>
        <w:rPr>
          <w:rFonts w:ascii="Aptos" w:hAnsi="Aptos"/>
          <w:b/>
          <w:i w:val="0"/>
          <w:color w:val="12111A"/>
          <w:sz w:val="32"/>
        </w:rPr>
        <w:t>3 Target Users and Jobs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Audience</w:t>
            </w:r>
          </w:p>
        </w:tc>
        <w:tc>
          <w:tcPr>
            <w:tcW w:type="dxa" w:w="3528"/>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Job to complete</w:t>
            </w:r>
          </w:p>
        </w:tc>
        <w:tc>
          <w:tcPr>
            <w:tcW w:type="dxa" w:w="3816"/>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What V0 must make clear</w:t>
            </w:r>
          </w:p>
        </w:tc>
      </w:tr>
      <w:tr>
        <w:trPr>
          <w:cantSplit/>
        </w:trPr>
        <w:tc>
          <w:tcPr>
            <w:tcW w:type="dxa" w:w="194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Everyday photo owners</w:t>
            </w:r>
          </w:p>
        </w:tc>
        <w:tc>
          <w:tcPr>
            <w:tcW w:type="dxa" w:w="352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Turn a selfie or favourite photo into a chosen look.</w:t>
            </w:r>
          </w:p>
        </w:tc>
        <w:tc>
          <w:tcPr>
            <w:tcW w:type="dxa" w:w="381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Whether their photo is suitable and what will remain recognizable.</w:t>
            </w:r>
          </w:p>
        </w:tc>
      </w:tr>
      <w:tr>
        <w:trPr>
          <w:cantSplit/>
        </w:trPr>
        <w:tc>
          <w:tcPr>
            <w:tcW w:type="dxa" w:w="194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Social creators</w:t>
            </w:r>
          </w:p>
        </w:tc>
        <w:tc>
          <w:tcPr>
            <w:tcW w:type="dxa" w:w="352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Create themed, editorial or avatar-style versions of their own photos.</w:t>
            </w:r>
          </w:p>
        </w:tc>
        <w:tc>
          <w:tcPr>
            <w:tcW w:type="dxa" w:w="381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 quick, repeatable prompt workflow and saveable favourites.</w:t>
            </w:r>
          </w:p>
        </w:tc>
      </w:tr>
      <w:tr>
        <w:trPr>
          <w:cantSplit/>
        </w:trPr>
        <w:tc>
          <w:tcPr>
            <w:tcW w:type="dxa" w:w="194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Professional or student</w:t>
            </w:r>
          </w:p>
        </w:tc>
        <w:tc>
          <w:tcPr>
            <w:tcW w:type="dxa" w:w="352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Turn an existing photo into a polished headshot.</w:t>
            </w:r>
          </w:p>
        </w:tc>
        <w:tc>
          <w:tcPr>
            <w:tcW w:type="dxa" w:w="381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Natural-looking results, clear constraints and honest identity guidance.</w:t>
            </w:r>
          </w:p>
        </w:tc>
      </w:tr>
      <w:tr>
        <w:trPr>
          <w:cantSplit/>
        </w:trPr>
        <w:tc>
          <w:tcPr>
            <w:tcW w:type="dxa" w:w="194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Pet and travel enthusiast</w:t>
            </w:r>
          </w:p>
        </w:tc>
        <w:tc>
          <w:tcPr>
            <w:tcW w:type="dxa" w:w="352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Restyle a pet, landscape or memory without losing key details.</w:t>
            </w:r>
          </w:p>
        </w:tc>
        <w:tc>
          <w:tcPr>
            <w:tcW w:type="dxa" w:w="381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Supported subject type and features that should be preserved.</w:t>
            </w:r>
          </w:p>
        </w:tc>
      </w:tr>
      <w:tr>
        <w:trPr>
          <w:cantSplit/>
        </w:trPr>
        <w:tc>
          <w:tcPr>
            <w:tcW w:type="dxa" w:w="194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Seller or marketer</w:t>
            </w:r>
          </w:p>
        </w:tc>
        <w:tc>
          <w:tcPr>
            <w:tcW w:type="dxa" w:w="352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Restyle a product image for a campaign or brand scene.</w:t>
            </w:r>
          </w:p>
        </w:tc>
        <w:tc>
          <w:tcPr>
            <w:tcW w:type="dxa" w:w="381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Product use is supported but is not the homepage's primary story.</w:t>
            </w:r>
          </w:p>
        </w:tc>
      </w:tr>
    </w:tbl>
    <w:p>
      <w:pPr>
        <w:spacing w:after="20"/>
      </w:pPr>
    </w:p>
    <w:p>
      <w:pPr>
        <w:pStyle w:val="Heading1"/>
        <w:spacing w:before="280" w:after="100"/>
        <w:keepNext/>
      </w:pPr>
      <w:r>
        <w:rPr>
          <w:rFonts w:ascii="Aptos" w:hAnsi="Aptos"/>
          <w:b/>
          <w:i w:val="0"/>
          <w:color w:val="12111A"/>
          <w:sz w:val="32"/>
        </w:rPr>
        <w:t>4 Core User Journeys</w:t>
      </w:r>
    </w:p>
    <w:p>
      <w:pPr>
        <w:pStyle w:val="Heading2"/>
        <w:spacing w:before="160" w:after="100"/>
        <w:keepNext/>
      </w:pPr>
      <w:r>
        <w:rPr>
          <w:rFonts w:ascii="Aptos" w:hAnsi="Aptos"/>
          <w:b/>
          <w:i w:val="0"/>
          <w:color w:val="12111A"/>
          <w:sz w:val="24"/>
        </w:rPr>
        <w:t>Guest discovery and prompt copy</w:t>
      </w:r>
    </w:p>
    <w:p>
      <w:pPr>
        <w:pStyle w:val="ListBullet"/>
        <w:spacing w:after="60" w:line="269" w:lineRule="auto"/>
      </w:pPr>
      <w:r>
        <w:rPr>
          <w:rFonts w:ascii="Aptos" w:hAnsi="Aptos"/>
          <w:b w:val="0"/>
          <w:i w:val="0"/>
          <w:color w:val="12111A"/>
          <w:sz w:val="20"/>
        </w:rPr>
        <w:t>A guest opens Home or Explore, browses categories, and filters by subject, edit intent or supported tool.</w:t>
      </w:r>
    </w:p>
    <w:p>
      <w:pPr>
        <w:pStyle w:val="ListBullet"/>
        <w:spacing w:after="60" w:line="269" w:lineRule="auto"/>
      </w:pPr>
      <w:r>
        <w:rPr>
          <w:rFonts w:ascii="Aptos" w:hAnsi="Aptos"/>
          <w:b w:val="0"/>
          <w:i w:val="0"/>
          <w:color w:val="12111A"/>
          <w:sz w:val="20"/>
        </w:rPr>
        <w:t>The guest opens a style detail page and views a clearly labeled before-and-after pair.</w:t>
      </w:r>
    </w:p>
    <w:p>
      <w:pPr>
        <w:pStyle w:val="ListBullet"/>
        <w:spacing w:after="60" w:line="269" w:lineRule="auto"/>
      </w:pPr>
      <w:r>
        <w:rPr>
          <w:rFonts w:ascii="Aptos" w:hAnsi="Aptos"/>
          <w:b w:val="0"/>
          <w:i w:val="0"/>
          <w:color w:val="12111A"/>
          <w:sz w:val="20"/>
        </w:rPr>
        <w:t>The guest checks photo requirements, what changes, what should remain, limitations, tested tool/mode and image count.</w:t>
      </w:r>
    </w:p>
    <w:p>
      <w:pPr>
        <w:pStyle w:val="ListBullet"/>
        <w:spacing w:after="60" w:line="269" w:lineRule="auto"/>
      </w:pPr>
      <w:r>
        <w:rPr>
          <w:rFonts w:ascii="Aptos" w:hAnsi="Aptos"/>
          <w:b w:val="0"/>
          <w:i w:val="0"/>
          <w:color w:val="12111A"/>
          <w:sz w:val="20"/>
        </w:rPr>
        <w:t>The guest chooses supported prompt options, resolves required fields, and copies the assembled prompt.</w:t>
      </w:r>
    </w:p>
    <w:p>
      <w:pPr>
        <w:pStyle w:val="ListBullet"/>
        <w:spacing w:after="60" w:line="269" w:lineRule="auto"/>
      </w:pPr>
      <w:r>
        <w:rPr>
          <w:rFonts w:ascii="Aptos" w:hAnsi="Aptos"/>
          <w:b w:val="0"/>
          <w:i w:val="0"/>
          <w:color w:val="12111A"/>
          <w:sz w:val="20"/>
        </w:rPr>
        <w:t>The guest uses their photo and the copied prompt in the named external AI editing tool.</w:t>
      </w:r>
    </w:p>
    <w:p>
      <w:pPr>
        <w:pStyle w:val="Heading2"/>
        <w:spacing w:before="160" w:after="100"/>
        <w:keepNext/>
      </w:pPr>
      <w:r>
        <w:rPr>
          <w:rFonts w:ascii="Aptos" w:hAnsi="Aptos"/>
          <w:b/>
          <w:i w:val="0"/>
          <w:color w:val="12111A"/>
          <w:sz w:val="24"/>
        </w:rPr>
        <w:t>Save and return journey</w:t>
      </w:r>
    </w:p>
    <w:p>
      <w:pPr>
        <w:pStyle w:val="ListBullet"/>
        <w:spacing w:after="60" w:line="269" w:lineRule="auto"/>
      </w:pPr>
      <w:r>
        <w:rPr>
          <w:rFonts w:ascii="Aptos" w:hAnsi="Aptos"/>
          <w:b w:val="0"/>
          <w:i w:val="0"/>
          <w:color w:val="12111A"/>
          <w:sz w:val="20"/>
        </w:rPr>
        <w:t>A guest selecting Save is asked to sign in, then returns to the intended save action.</w:t>
      </w:r>
    </w:p>
    <w:p>
      <w:pPr>
        <w:pStyle w:val="ListBullet"/>
        <w:spacing w:after="60" w:line="269" w:lineRule="auto"/>
      </w:pPr>
      <w:r>
        <w:rPr>
          <w:rFonts w:ascii="Aptos" w:hAnsi="Aptos"/>
          <w:b w:val="0"/>
          <w:i w:val="0"/>
          <w:color w:val="12111A"/>
          <w:sz w:val="20"/>
        </w:rPr>
        <w:t>A signed-in user saves or removes a style and optionally places it in a named private collection.</w:t>
      </w:r>
    </w:p>
    <w:p>
      <w:pPr>
        <w:pStyle w:val="ListBullet"/>
        <w:spacing w:after="60" w:line="269" w:lineRule="auto"/>
      </w:pPr>
      <w:r>
        <w:rPr>
          <w:rFonts w:ascii="Aptos" w:hAnsi="Aptos"/>
          <w:b w:val="0"/>
          <w:i w:val="0"/>
          <w:color w:val="12111A"/>
          <w:sz w:val="20"/>
        </w:rPr>
        <w:t>After creating an image externally, the user opens Upload my result from the style page or My Library.</w:t>
      </w:r>
    </w:p>
    <w:p>
      <w:pPr>
        <w:pStyle w:val="ListBullet"/>
        <w:spacing w:after="60" w:line="269" w:lineRule="auto"/>
      </w:pPr>
      <w:r>
        <w:rPr>
          <w:rFonts w:ascii="Aptos" w:hAnsi="Aptos"/>
          <w:b w:val="0"/>
          <w:i w:val="0"/>
          <w:color w:val="12111A"/>
          <w:sz w:val="20"/>
        </w:rPr>
        <w:t>The user uploads the result, optionally stores their original photo, records the tool used and optional notes, and saves the actual prompt or marks it unknown.</w:t>
      </w:r>
    </w:p>
    <w:p>
      <w:pPr>
        <w:pStyle w:val="ListBullet"/>
        <w:spacing w:after="60" w:line="269" w:lineRule="auto"/>
      </w:pPr>
      <w:r>
        <w:rPr>
          <w:rFonts w:ascii="Aptos" w:hAnsi="Aptos"/>
          <w:b w:val="0"/>
          <w:i w:val="0"/>
          <w:color w:val="12111A"/>
          <w:sz w:val="20"/>
        </w:rPr>
        <w:t>The user can later inspect, compare, download, update notes or permanently delete their private creation.</w:t>
      </w:r>
    </w:p>
    <w:p>
      <w:pPr>
        <w:pStyle w:val="Heading1"/>
        <w:spacing w:before="280" w:after="100"/>
        <w:keepNext/>
      </w:pPr>
      <w:r>
        <w:rPr>
          <w:rFonts w:ascii="Aptos" w:hAnsi="Aptos"/>
          <w:b/>
          <w:i w:val="0"/>
          <w:color w:val="12111A"/>
          <w:sz w:val="32"/>
        </w:rPr>
        <w:t>5 Information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Route</w:t>
            </w:r>
          </w:p>
        </w:tc>
        <w:tc>
          <w:tcPr>
            <w:tcW w:type="dxa" w:w="7056"/>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Purpose and required behaviour</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Position photo transformation, show category entry points, featured styles and external-tool workflow.</w:t>
            </w:r>
          </w:p>
        </w:tc>
      </w:tr>
      <w:tr>
        <w:trPr>
          <w:cantSplit/>
        </w:trPr>
        <w:tc>
          <w:tcPr>
            <w:tcW w:type="dxa" w:w="223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/explore</w:t>
            </w:r>
          </w:p>
        </w:tc>
        <w:tc>
          <w:tcPr>
            <w:tcW w:type="dxa" w:w="705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Searchable, filterable catalog with stable image cards and restorable selected filters.</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/categories/[slug]</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Context for a category and its relevant styles and guides.</w:t>
            </w:r>
          </w:p>
        </w:tc>
      </w:tr>
      <w:tr>
        <w:trPr>
          <w:cantSplit/>
        </w:trPr>
        <w:tc>
          <w:tcPr>
            <w:tcW w:type="dxa" w:w="223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/styles/[slug]</w:t>
            </w:r>
          </w:p>
        </w:tc>
        <w:tc>
          <w:tcPr>
            <w:tcW w:type="dxa" w:w="705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Before/after evidence, requirements, prompt assembly, copy, save and upload-result entry point.</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/how-it-works</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Explain that users transform in an external editing tool, then can save the result here.</w:t>
            </w:r>
          </w:p>
        </w:tc>
      </w:tr>
      <w:tr>
        <w:trPr>
          <w:cantSplit/>
        </w:trPr>
        <w:tc>
          <w:tcPr>
            <w:tcW w:type="dxa" w:w="223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/sign-in</w:t>
            </w:r>
          </w:p>
        </w:tc>
        <w:tc>
          <w:tcPr>
            <w:tcW w:type="dxa" w:w="705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Google and magic-link entry, resend cooldown, expired-link recovery and return action.</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/library</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Private tabs or views for Saved styles, Collections and My creations.</w:t>
            </w:r>
          </w:p>
        </w:tc>
      </w:tr>
      <w:tr>
        <w:trPr>
          <w:cantSplit/>
        </w:trPr>
        <w:tc>
          <w:tcPr>
            <w:tcW w:type="dxa" w:w="223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/creations/[id]</w:t>
            </w:r>
          </w:p>
        </w:tc>
        <w:tc>
          <w:tcPr>
            <w:tcW w:type="dxa" w:w="705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Owner-only result view with source comparison, prompt snapshot, notes, download and deletion.</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/admin</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Role-protected editorial management for styles, variants, assets, review and publishing.</w:t>
            </w:r>
          </w:p>
        </w:tc>
      </w:tr>
    </w:tbl>
    <w:p>
      <w:pPr>
        <w:spacing w:after="20"/>
      </w:pPr>
    </w:p>
    <w:p>
      <w:pPr>
        <w:pStyle w:val="Heading1"/>
        <w:spacing w:before="280" w:after="100"/>
        <w:keepNext/>
      </w:pPr>
      <w:r>
        <w:rPr>
          <w:rFonts w:ascii="Aptos" w:hAnsi="Aptos"/>
          <w:b/>
          <w:i w:val="0"/>
          <w:color w:val="12111A"/>
          <w:sz w:val="32"/>
        </w:rPr>
        <w:t>6 Functional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92"/>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ID</w:t>
            </w:r>
          </w:p>
        </w:tc>
        <w:tc>
          <w:tcPr>
            <w:tcW w:type="dxa" w:w="4924"/>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Requirement</w:t>
            </w:r>
          </w:p>
        </w:tc>
        <w:tc>
          <w:tcPr>
            <w:tcW w:type="dxa" w:w="3484"/>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Acceptance signal</w:t>
            </w:r>
          </w:p>
        </w:tc>
      </w:tr>
      <w:tr>
        <w:trPr>
          <w:cantSplit/>
        </w:trPr>
        <w:tc>
          <w:tcPr>
            <w:tcW w:type="dxa" w:w="89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01</w:t>
            </w:r>
          </w:p>
        </w:tc>
        <w:tc>
          <w:tcPr>
            <w:tcW w:type="dxa" w:w="492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Visitors can browse style cards without an account.</w:t>
            </w:r>
          </w:p>
        </w:tc>
        <w:tc>
          <w:tcPr>
            <w:tcW w:type="dxa" w:w="348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Catalog works as a guest on desktop and 360 px mobile widths.</w:t>
            </w:r>
          </w:p>
        </w:tc>
      </w:tr>
      <w:tr>
        <w:trPr>
          <w:cantSplit/>
        </w:trPr>
        <w:tc>
          <w:tcPr>
            <w:tcW w:type="dxa" w:w="89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02</w:t>
            </w:r>
          </w:p>
        </w:tc>
        <w:tc>
          <w:tcPr>
            <w:tcW w:type="dxa" w:w="492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Visitors can search and combine category, subject, edit-intent and tool filters.</w:t>
            </w:r>
          </w:p>
        </w:tc>
        <w:tc>
          <w:tcPr>
            <w:tcW w:type="dxa" w:w="348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Selected filters are visible, removable and reflected in results.</w:t>
            </w:r>
          </w:p>
        </w:tc>
      </w:tr>
      <w:tr>
        <w:trPr>
          <w:cantSplit/>
        </w:trPr>
        <w:tc>
          <w:tcPr>
            <w:tcW w:type="dxa" w:w="89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03</w:t>
            </w:r>
          </w:p>
        </w:tc>
        <w:tc>
          <w:tcPr>
            <w:tcW w:type="dxa" w:w="492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Each published style exposes authentic before/after examples and recipe guidance.</w:t>
            </w:r>
          </w:p>
        </w:tc>
        <w:tc>
          <w:tcPr>
            <w:tcW w:type="dxa" w:w="348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Every published page has required fields and has no unresolved placeholders.</w:t>
            </w:r>
          </w:p>
        </w:tc>
      </w:tr>
      <w:tr>
        <w:trPr>
          <w:cantSplit/>
        </w:trPr>
        <w:tc>
          <w:tcPr>
            <w:tcW w:type="dxa" w:w="89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04</w:t>
            </w:r>
          </w:p>
        </w:tc>
        <w:tc>
          <w:tcPr>
            <w:tcW w:type="dxa" w:w="492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Visitors can customize and copy a complete prompt.</w:t>
            </w:r>
          </w:p>
        </w:tc>
        <w:tc>
          <w:tcPr>
            <w:tcW w:type="dxa" w:w="348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Required fields block copy; fallback manual selection works if clipboard permission fails.</w:t>
            </w:r>
          </w:p>
        </w:tc>
      </w:tr>
      <w:tr>
        <w:trPr>
          <w:cantSplit/>
        </w:trPr>
        <w:tc>
          <w:tcPr>
            <w:tcW w:type="dxa" w:w="89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05</w:t>
            </w:r>
          </w:p>
        </w:tc>
        <w:tc>
          <w:tcPr>
            <w:tcW w:type="dxa" w:w="492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Users can sign in with Google or a one-time email link.</w:t>
            </w:r>
          </w:p>
        </w:tc>
        <w:tc>
          <w:tcPr>
            <w:tcW w:type="dxa" w:w="348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Sign-in preserves the pending save action; expired link has recovery.</w:t>
            </w:r>
          </w:p>
        </w:tc>
      </w:tr>
      <w:tr>
        <w:trPr>
          <w:cantSplit/>
        </w:trPr>
        <w:tc>
          <w:tcPr>
            <w:tcW w:type="dxa" w:w="89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06</w:t>
            </w:r>
          </w:p>
        </w:tc>
        <w:tc>
          <w:tcPr>
            <w:tcW w:type="dxa" w:w="492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Users can save styles and maintain named collections.</w:t>
            </w:r>
          </w:p>
        </w:tc>
        <w:tc>
          <w:tcPr>
            <w:tcW w:type="dxa" w:w="348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Save state persists across sessions; removing a save does not delete creations.</w:t>
            </w:r>
          </w:p>
        </w:tc>
      </w:tr>
      <w:tr>
        <w:trPr>
          <w:cantSplit/>
        </w:trPr>
        <w:tc>
          <w:tcPr>
            <w:tcW w:type="dxa" w:w="89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07</w:t>
            </w:r>
          </w:p>
        </w:tc>
        <w:tc>
          <w:tcPr>
            <w:tcW w:type="dxa" w:w="492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Users can privately save a creation against a style and prompt variant.</w:t>
            </w:r>
          </w:p>
        </w:tc>
        <w:tc>
          <w:tcPr>
            <w:tcW w:type="dxa" w:w="348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Creation displays result, linked style, prompt snapshot, tool and saved date.</w:t>
            </w:r>
          </w:p>
        </w:tc>
      </w:tr>
      <w:tr>
        <w:trPr>
          <w:cantSplit/>
        </w:trPr>
        <w:tc>
          <w:tcPr>
            <w:tcW w:type="dxa" w:w="89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08</w:t>
            </w:r>
          </w:p>
        </w:tc>
        <w:tc>
          <w:tcPr>
            <w:tcW w:type="dxa" w:w="492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Users can delete a source photo separately from a result, or delete the creation entirely.</w:t>
            </w:r>
          </w:p>
        </w:tc>
        <w:tc>
          <w:tcPr>
            <w:tcW w:type="dxa" w:w="348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Deletion removes private files and derived thumbnails according to policy.</w:t>
            </w:r>
          </w:p>
        </w:tc>
      </w:tr>
      <w:tr>
        <w:trPr>
          <w:cantSplit/>
        </w:trPr>
        <w:tc>
          <w:tcPr>
            <w:tcW w:type="dxa" w:w="89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09</w:t>
            </w:r>
          </w:p>
        </w:tc>
        <w:tc>
          <w:tcPr>
            <w:tcW w:type="dxa" w:w="492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Editors can draft, review, publish, archive and version catalog content.</w:t>
            </w:r>
          </w:p>
        </w:tc>
        <w:tc>
          <w:tcPr>
            <w:tcW w:type="dxa" w:w="348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Ordinary users are denied every admin mutation and route.</w:t>
            </w:r>
          </w:p>
        </w:tc>
      </w:tr>
      <w:tr>
        <w:trPr>
          <w:cantSplit/>
        </w:trPr>
        <w:tc>
          <w:tcPr>
            <w:tcW w:type="dxa" w:w="89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FR 10</w:t>
            </w:r>
          </w:p>
        </w:tc>
        <w:tc>
          <w:tcPr>
            <w:tcW w:type="dxa" w:w="492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The app provides specific empty, loading and failure states.</w:t>
            </w:r>
          </w:p>
        </w:tc>
        <w:tc>
          <w:tcPr>
            <w:tcW w:type="dxa" w:w="348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No-results, auth failure, expired session, quota and upload failures give a next action.</w:t>
            </w:r>
          </w:p>
        </w:tc>
      </w:tr>
    </w:tbl>
    <w:p>
      <w:pPr>
        <w:spacing w:after="20"/>
      </w:pPr>
    </w:p>
    <w:p>
      <w:pPr>
        <w:pStyle w:val="Heading1"/>
        <w:spacing w:before="280" w:after="100"/>
        <w:keepNext/>
      </w:pPr>
      <w:r>
        <w:rPr>
          <w:rFonts w:ascii="Aptos" w:hAnsi="Aptos"/>
          <w:b/>
          <w:i w:val="0"/>
          <w:color w:val="12111A"/>
          <w:sz w:val="32"/>
        </w:rPr>
        <w:t>7 Style Recipe and Content Standard</w:t>
      </w:r>
    </w:p>
    <w:p>
      <w:pPr>
        <w:spacing w:before="0" w:after="140" w:line="276" w:lineRule="auto"/>
      </w:pPr>
      <w:r>
        <w:rPr>
          <w:rFonts w:ascii="Aptos" w:hAnsi="Aptos"/>
          <w:b w:val="0"/>
          <w:i w:val="0"/>
          <w:color w:val="12111A"/>
          <w:sz w:val="21"/>
        </w:rPr>
        <w:t>A small catalog with reliable outcomes is more valuable than a large collection of untested prompts. Begin V0 with 12 to 20 styles across multiple categories, then grow after testers can reproduce useful results.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Required recipe field</w:t>
            </w:r>
          </w:p>
        </w:tc>
        <w:tc>
          <w:tcPr>
            <w:tcW w:type="dxa" w:w="6710"/>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Editorial rule</w:t>
            </w:r>
          </w:p>
        </w:tc>
      </w:tr>
      <w:tr>
        <w:trPr>
          <w:cantSplit/>
        </w:trPr>
        <w:tc>
          <w:tcPr>
            <w:tcW w:type="dxa" w:w="259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Title, slug, category and tags</w:t>
            </w:r>
          </w:p>
        </w:tc>
        <w:tc>
          <w:tcPr>
            <w:tcW w:type="dxa" w:w="671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Use controlled names and consistent, human-readable labels.</w:t>
            </w:r>
          </w:p>
        </w:tc>
      </w:tr>
      <w:tr>
        <w:trPr>
          <w:cantSplit/>
        </w:trPr>
        <w:tc>
          <w:tcPr>
            <w:tcW w:type="dxa" w:w="259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Supported subject and crop</w:t>
            </w:r>
          </w:p>
        </w:tc>
        <w:tc>
          <w:tcPr>
            <w:tcW w:type="dxa" w:w="671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State whether the recipe is for a single person, group, pet, object or place; never claim unsupported coverage.</w:t>
            </w:r>
          </w:p>
        </w:tc>
      </w:tr>
      <w:tr>
        <w:trPr>
          <w:cantSplit/>
        </w:trPr>
        <w:tc>
          <w:tcPr>
            <w:tcW w:type="dxa" w:w="259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Photo requirements</w:t>
            </w:r>
          </w:p>
        </w:tc>
        <w:tc>
          <w:tcPr>
            <w:tcW w:type="dxa" w:w="671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Specify light, angle, image quality, face visibility and any unsuitable cases.</w:t>
            </w:r>
          </w:p>
        </w:tc>
      </w:tr>
      <w:tr>
        <w:trPr>
          <w:cantSplit/>
        </w:trPr>
        <w:tc>
          <w:tcPr>
            <w:tcW w:type="dxa" w:w="259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Tested tool and mode</w:t>
            </w:r>
          </w:p>
        </w:tc>
        <w:tc>
          <w:tcPr>
            <w:tcW w:type="dxa" w:w="671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Name the external tool, its mode, input-image count and required image order.</w:t>
            </w:r>
          </w:p>
        </w:tc>
      </w:tr>
      <w:tr>
        <w:trPr>
          <w:cantSplit/>
        </w:trPr>
        <w:tc>
          <w:tcPr>
            <w:tcW w:type="dxa" w:w="259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Prompt and variables</w:t>
            </w:r>
          </w:p>
        </w:tc>
        <w:tc>
          <w:tcPr>
            <w:tcW w:type="dxa" w:w="671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Store a complete template, valid variables, defaults and a prompt version. No unresolved placeholders may be copied.</w:t>
            </w:r>
          </w:p>
        </w:tc>
      </w:tr>
      <w:tr>
        <w:trPr>
          <w:cantSplit/>
        </w:trPr>
        <w:tc>
          <w:tcPr>
            <w:tcW w:type="dxa" w:w="259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What changes and what stays</w:t>
            </w:r>
          </w:p>
        </w:tc>
        <w:tc>
          <w:tcPr>
            <w:tcW w:type="dxa" w:w="671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Separate expected visual changes from identity, markings, scene features or product details to preserve.</w:t>
            </w:r>
          </w:p>
        </w:tc>
      </w:tr>
      <w:tr>
        <w:trPr>
          <w:cantSplit/>
        </w:trPr>
        <w:tc>
          <w:tcPr>
            <w:tcW w:type="dxa" w:w="259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Evidence</w:t>
            </w:r>
          </w:p>
        </w:tc>
        <w:tc>
          <w:tcPr>
            <w:tcW w:type="dxa" w:w="671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Publish at least two authorized before/after pairs. Test three source photos per supported subject type before claiming support.</w:t>
            </w:r>
          </w:p>
        </w:tc>
      </w:tr>
      <w:tr>
        <w:trPr>
          <w:cantSplit/>
        </w:trPr>
        <w:tc>
          <w:tcPr>
            <w:tcW w:type="dxa" w:w="259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Limitations and test date</w:t>
            </w:r>
          </w:p>
        </w:tc>
        <w:tc>
          <w:tcPr>
            <w:tcW w:type="dxa" w:w="671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Tell users where results may fail and when the tool-specific variant was last checked.</w:t>
            </w:r>
          </w:p>
        </w:tc>
      </w:tr>
    </w:tbl>
    <w:p>
      <w:pPr>
        <w:spacing w:after="20"/>
      </w:pPr>
    </w:p>
    <w:p>
      <w:pPr>
        <w:pStyle w:val="Heading2"/>
        <w:spacing w:before="160" w:after="100"/>
        <w:keepNext/>
      </w:pPr>
      <w:r>
        <w:rPr>
          <w:rFonts w:ascii="Aptos" w:hAnsi="Aptos"/>
          <w:b/>
          <w:i w:val="0"/>
          <w:color w:val="12111A"/>
          <w:sz w:val="24"/>
        </w:rPr>
        <w:t>Beta category mix</w:t>
      </w:r>
    </w:p>
    <w:p>
      <w:pPr>
        <w:spacing w:before="0" w:after="140" w:line="276" w:lineRule="auto"/>
      </w:pPr>
      <w:r>
        <w:rPr>
          <w:rFonts w:ascii="Aptos" w:hAnsi="Aptos"/>
          <w:b w:val="0"/>
          <w:i w:val="0"/>
          <w:color w:val="12111A"/>
          <w:sz w:val="21"/>
        </w:rPr>
        <w:t>Choose the first 12 to 20 styles from cinematic/editorial, anime/illustration, painting/sketch, vintage/film, professional portraits, fantasy/themed, pets, travel/places and product/object imagery. Personal photo transformation remains the lead use case; product imagery is one supported category.</w:t>
      </w:r>
    </w:p>
    <w:p>
      <w:pPr>
        <w:pStyle w:val="Heading1"/>
        <w:spacing w:before="280" w:after="100"/>
        <w:keepNext/>
      </w:pPr>
      <w:r>
        <w:rPr>
          <w:rFonts w:ascii="Aptos" w:hAnsi="Aptos"/>
          <w:b/>
          <w:i w:val="0"/>
          <w:color w:val="12111A"/>
          <w:sz w:val="32"/>
        </w:rPr>
        <w:t>8 Data Model and Permissions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Entity</w:t>
            </w:r>
          </w:p>
        </w:tc>
        <w:tc>
          <w:tcPr>
            <w:tcW w:type="dxa" w:w="7200"/>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Essential data and relationship</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Profile</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Auth user ID, display name, role, timestamps and preferences.</w:t>
            </w:r>
          </w:p>
        </w:tc>
      </w:tr>
      <w:tr>
        <w:trPr>
          <w:cantSplit/>
        </w:trPr>
        <w:tc>
          <w:tcPr>
            <w:tcW w:type="dxa" w:w="208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Style</w:t>
            </w:r>
          </w:p>
        </w:tc>
        <w:tc>
          <w:tcPr>
            <w:tcW w:type="dxa" w:w="72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Slug, category, supported subjects, edit intent, preservation targets, status and author.</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Prompt variant</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Style ID, tool, mode, input count/roles, version, template, variables, settings and test record.</w:t>
            </w:r>
          </w:p>
        </w:tc>
      </w:tr>
      <w:tr>
        <w:trPr>
          <w:cantSplit/>
        </w:trPr>
        <w:tc>
          <w:tcPr>
            <w:tcW w:type="dxa" w:w="208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Style asset</w:t>
            </w:r>
          </w:p>
        </w:tc>
        <w:tc>
          <w:tcPr>
            <w:tcW w:type="dxa" w:w="72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Authorized example-pair keys, alt text, provenance and reference-use permission.</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Category and tag</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Controlled names and slugs with a style-tag linking table.</w:t>
            </w:r>
          </w:p>
        </w:tc>
      </w:tr>
      <w:tr>
        <w:trPr>
          <w:cantSplit/>
        </w:trPr>
        <w:tc>
          <w:tcPr>
            <w:tcW w:type="dxa" w:w="208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Saved style</w:t>
            </w:r>
          </w:p>
        </w:tc>
        <w:tc>
          <w:tcPr>
            <w:tcW w:type="dxa" w:w="72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Unique user ID + style ID pair and saved timestamp.</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Collection and item</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Owner, name, timestamps and linked saved styles.</w:t>
            </w:r>
          </w:p>
        </w:tc>
      </w:tr>
      <w:tr>
        <w:trPr>
          <w:cantSplit/>
        </w:trPr>
        <w:tc>
          <w:tcPr>
            <w:tcW w:type="dxa" w:w="208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Creation</w:t>
            </w:r>
          </w:p>
        </w:tc>
        <w:tc>
          <w:tcPr>
            <w:tcW w:type="dxa" w:w="72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Owner, style and variant IDs, result key, optional source key, prompt snapshot, tool, notes and timestamps.</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Report and audit</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Reason, status, target and immutable actor/time record for editor changes.</w:t>
            </w:r>
          </w:p>
        </w:tc>
      </w:tr>
    </w:tbl>
    <w:p>
      <w:pPr>
        <w:spacing w:after="20"/>
      </w:pPr>
    </w:p>
    <w:p>
      <w:pPr>
        <w:pStyle w:val="Heading2"/>
        <w:spacing w:before="160" w:after="100"/>
        <w:keepNext/>
      </w:pPr>
      <w:r>
        <w:rPr>
          <w:rFonts w:ascii="Aptos" w:hAnsi="Aptos"/>
          <w:b/>
          <w:i w:val="0"/>
          <w:color w:val="12111A"/>
          <w:sz w:val="24"/>
        </w:rPr>
        <w:t>Authorization model</w:t>
      </w:r>
    </w:p>
    <w:p>
      <w:pPr>
        <w:pStyle w:val="ListBullet"/>
        <w:spacing w:after="60" w:line="269" w:lineRule="auto"/>
      </w:pPr>
      <w:r>
        <w:rPr>
          <w:rFonts w:ascii="Aptos" w:hAnsi="Aptos"/>
          <w:b w:val="0"/>
          <w:i w:val="0"/>
          <w:color w:val="12111A"/>
          <w:sz w:val="20"/>
        </w:rPr>
        <w:t>Public visitors may read only published catalog records and public catalog assets.</w:t>
      </w:r>
    </w:p>
    <w:p>
      <w:pPr>
        <w:pStyle w:val="ListBullet"/>
        <w:spacing w:after="60" w:line="269" w:lineRule="auto"/>
      </w:pPr>
      <w:r>
        <w:rPr>
          <w:rFonts w:ascii="Aptos" w:hAnsi="Aptos"/>
          <w:b w:val="0"/>
          <w:i w:val="0"/>
          <w:color w:val="12111A"/>
          <w:sz w:val="20"/>
        </w:rPr>
        <w:t>Authenticated users may manage only their own profile, saved styles, collections, creations and private files.</w:t>
      </w:r>
    </w:p>
    <w:p>
      <w:pPr>
        <w:pStyle w:val="ListBullet"/>
        <w:spacing w:after="60" w:line="269" w:lineRule="auto"/>
      </w:pPr>
      <w:r>
        <w:rPr>
          <w:rFonts w:ascii="Aptos" w:hAnsi="Aptos"/>
          <w:b w:val="0"/>
          <w:i w:val="0"/>
          <w:color w:val="12111A"/>
          <w:sz w:val="20"/>
        </w:rPr>
        <w:t>Editors may create and change catalog content according to role. Publishing and archiving must be auditable.</w:t>
      </w:r>
    </w:p>
    <w:p>
      <w:pPr>
        <w:pStyle w:val="ListBullet"/>
        <w:spacing w:after="60" w:line="269" w:lineRule="auto"/>
      </w:pPr>
      <w:r>
        <w:rPr>
          <w:rFonts w:ascii="Aptos" w:hAnsi="Aptos"/>
          <w:b w:val="0"/>
          <w:i w:val="0"/>
          <w:color w:val="12111A"/>
          <w:sz w:val="20"/>
        </w:rPr>
        <w:t>Private user storage and public catalog delivery must use separate buckets or equivalent access boundaries.</w:t>
      </w:r>
    </w:p>
    <w:p>
      <w:pPr>
        <w:pStyle w:val="Heading1"/>
        <w:spacing w:before="280" w:after="100"/>
        <w:keepNext/>
      </w:pPr>
      <w:r>
        <w:rPr>
          <w:rFonts w:ascii="Aptos" w:hAnsi="Aptos"/>
          <w:b/>
          <w:i w:val="0"/>
          <w:color w:val="12111A"/>
          <w:sz w:val="32"/>
        </w:rPr>
        <w:t>9 Authentication, Privacy and Safety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Area</w:t>
            </w:r>
          </w:p>
        </w:tc>
        <w:tc>
          <w:tcPr>
            <w:tcW w:type="dxa" w:w="7200"/>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V0 requirement</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Authentication</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Offer Continue with Google and Email me a sign-in link. Use provider-verified identity-linking only; never merge accounts from client-supplied email values.</w:t>
            </w:r>
          </w:p>
        </w:tc>
      </w:tr>
      <w:tr>
        <w:trPr>
          <w:cantSplit/>
        </w:trPr>
        <w:tc>
          <w:tcPr>
            <w:tcW w:type="dxa" w:w="208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Private creations</w:t>
            </w:r>
          </w:p>
        </w:tc>
        <w:tc>
          <w:tcPr>
            <w:tcW w:type="dxa" w:w="72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Private by default. No public profile, searchable gallery or reuse as a catalog example without separate explicit consent.</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Upload policy</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Accept JPEG, PNG and WebP. Start with a 10 MB per-file limit and a 25-creation account cap, subject to final confirmation.</w:t>
            </w:r>
          </w:p>
        </w:tc>
      </w:tr>
      <w:tr>
        <w:trPr>
          <w:cantSplit/>
        </w:trPr>
        <w:tc>
          <w:tcPr>
            <w:tcW w:type="dxa" w:w="208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Validation</w:t>
            </w:r>
          </w:p>
        </w:tc>
        <w:tc>
          <w:tcPr>
            <w:tcW w:type="dxa" w:w="72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Validate bytes, MIME/type signature, decoded dimensions and pixel count. Re-encode accepted images and strip metadata.</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Access</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Authorize every creation, collection, upload, download and deletion by owner. Use short-lived URLs for private downloads.</w:t>
            </w:r>
          </w:p>
        </w:tc>
      </w:tr>
      <w:tr>
        <w:trPr>
          <w:cantSplit/>
        </w:trPr>
        <w:tc>
          <w:tcPr>
            <w:tcW w:type="dxa" w:w="208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Deletion</w:t>
            </w:r>
          </w:p>
        </w:tc>
        <w:tc>
          <w:tcPr>
            <w:tcW w:type="dxa" w:w="72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Creation deletion removes result, optional source and thumbnails. Source-only deletion preserves result. Support account deletion and document backup retention.</w:t>
            </w:r>
          </w:p>
        </w:tc>
      </w:tr>
      <w:tr>
        <w:trPr>
          <w:cantSplit/>
        </w:trPr>
        <w:tc>
          <w:tcPr>
            <w:tcW w:type="dxa" w:w="208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Consent</w:t>
            </w:r>
          </w:p>
        </w:tc>
        <w:tc>
          <w:tcPr>
            <w:tcW w:type="dxa" w:w="72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Require permission to upload identifiable people. Do not use private photos for model training or promotion without explicit opt-in.</w:t>
            </w:r>
          </w:p>
        </w:tc>
      </w:tr>
    </w:tbl>
    <w:p>
      <w:pPr>
        <w:spacing w:after="20"/>
      </w:pPr>
    </w:p>
    <w:p>
      <w:pPr>
        <w:pStyle w:val="Heading1"/>
        <w:spacing w:before="280" w:after="100"/>
        <w:keepNext/>
      </w:pPr>
      <w:r>
        <w:rPr>
          <w:rFonts w:ascii="Aptos" w:hAnsi="Aptos"/>
          <w:b/>
          <w:i w:val="0"/>
          <w:color w:val="12111A"/>
          <w:sz w:val="32"/>
        </w:rPr>
        <w:t>10 Technical Direction</w:t>
      </w:r>
    </w:p>
    <w:p>
      <w:pPr>
        <w:spacing w:before="0" w:after="140" w:line="276" w:lineRule="auto"/>
      </w:pPr>
      <w:r>
        <w:rPr>
          <w:rFonts w:ascii="Aptos" w:hAnsi="Aptos"/>
          <w:b w:val="0"/>
          <w:i w:val="0"/>
          <w:color w:val="12111A"/>
          <w:sz w:val="21"/>
        </w:rPr>
        <w:t>Build V0 as one TypeScript Next.js application. Use the App Router for the web experience and server routes or server actions in the same codebase. Keep the initial architecture deliberately simple; do not introduce microservices before a clear traffic or team-ownership reason exists.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Layer</w:t>
            </w:r>
          </w:p>
        </w:tc>
        <w:tc>
          <w:tcPr>
            <w:tcW w:type="dxa" w:w="7343"/>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V0 recommendation</w:t>
            </w:r>
          </w:p>
        </w:tc>
      </w:tr>
      <w:tr>
        <w:trPr>
          <w:cantSplit/>
        </w:trPr>
        <w:tc>
          <w:tcPr>
            <w:tcW w:type="dxa" w:w="194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Web application</w:t>
            </w:r>
          </w:p>
        </w:tc>
        <w:tc>
          <w:tcPr>
            <w:tcW w:type="dxa" w:w="7343"/>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Next.js, TypeScript, App Router and Tailwind CSS. Port the approved prototype into reusable responsive components.</w:t>
            </w:r>
          </w:p>
        </w:tc>
      </w:tr>
      <w:tr>
        <w:trPr>
          <w:cantSplit/>
        </w:trPr>
        <w:tc>
          <w:tcPr>
            <w:tcW w:type="dxa" w:w="194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Data and auth</w:t>
            </w:r>
          </w:p>
        </w:tc>
        <w:tc>
          <w:tcPr>
            <w:tcW w:type="dxa" w:w="7343"/>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Supabase PostgreSQL, Google OAuth, email magic links and row-level security.</w:t>
            </w:r>
          </w:p>
        </w:tc>
      </w:tr>
      <w:tr>
        <w:trPr>
          <w:cantSplit/>
        </w:trPr>
        <w:tc>
          <w:tcPr>
            <w:tcW w:type="dxa" w:w="194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File storage</w:t>
            </w:r>
          </w:p>
        </w:tc>
        <w:tc>
          <w:tcPr>
            <w:tcW w:type="dxa" w:w="7343"/>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Supabase Storage with separated public catalog and private user-creation paths.</w:t>
            </w:r>
          </w:p>
        </w:tc>
      </w:tr>
      <w:tr>
        <w:trPr>
          <w:cantSplit/>
        </w:trPr>
        <w:tc>
          <w:tcPr>
            <w:tcW w:type="dxa" w:w="194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Validation</w:t>
            </w:r>
          </w:p>
        </w:tc>
        <w:tc>
          <w:tcPr>
            <w:tcW w:type="dxa" w:w="7343"/>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Zod schemas at form and server boundaries; server-side checks for all privileged writes.</w:t>
            </w:r>
          </w:p>
        </w:tc>
      </w:tr>
      <w:tr>
        <w:trPr>
          <w:cantSplit/>
        </w:trPr>
        <w:tc>
          <w:tcPr>
            <w:tcW w:type="dxa" w:w="194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Delivery</w:t>
            </w:r>
          </w:p>
        </w:tc>
        <w:tc>
          <w:tcPr>
            <w:tcW w:type="dxa" w:w="7343"/>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Vercel preview deployments and a private beta deployment. Keep environment variables outside the repository.</w:t>
            </w:r>
          </w:p>
        </w:tc>
      </w:tr>
      <w:tr>
        <w:trPr>
          <w:cantSplit/>
        </w:trPr>
        <w:tc>
          <w:tcPr>
            <w:tcW w:type="dxa" w:w="194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Observability</w:t>
            </w:r>
          </w:p>
        </w:tc>
        <w:tc>
          <w:tcPr>
            <w:tcW w:type="dxa" w:w="7343"/>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Basic product analytics and error monitoring that never send image contents or private prompt text.</w:t>
            </w:r>
          </w:p>
        </w:tc>
      </w:tr>
    </w:tbl>
    <w:p>
      <w:pPr>
        <w:spacing w:after="20"/>
      </w:pPr>
    </w:p>
    <w:p>
      <w:pPr>
        <w:pStyle w:val="Heading1"/>
        <w:spacing w:before="280" w:after="100"/>
        <w:keepNext/>
      </w:pPr>
      <w:r>
        <w:rPr>
          <w:rFonts w:ascii="Aptos" w:hAnsi="Aptos"/>
          <w:b/>
          <w:i w:val="0"/>
          <w:color w:val="12111A"/>
          <w:sz w:val="32"/>
        </w:rPr>
        <w:t>11 Nonfunctional Requirements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Area</w:t>
            </w:r>
          </w:p>
        </w:tc>
        <w:tc>
          <w:tcPr>
            <w:tcW w:type="dxa" w:w="7056"/>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Requirement</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Accessibility</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Keyboard navigation, visible focus, accessible labels, meaningful alternative text, high contrast and a side-by-side comparison alternative to the slider.</w:t>
            </w:r>
          </w:p>
        </w:tc>
      </w:tr>
      <w:tr>
        <w:trPr>
          <w:cantSplit/>
        </w:trPr>
        <w:tc>
          <w:tcPr>
            <w:tcW w:type="dxa" w:w="223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Responsive quality</w:t>
            </w:r>
          </w:p>
        </w:tc>
        <w:tc>
          <w:tcPr>
            <w:tcW w:type="dxa" w:w="705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No horizontal overflow at 360 px. Detail page stacks content on mobile while keeping Copy prompt easy to reach.</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Performance</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Stable card ratios, responsive image sizes, lazy-load below-fold content and do not place private originals on listing pages.</w:t>
            </w:r>
          </w:p>
        </w:tc>
      </w:tr>
      <w:tr>
        <w:trPr>
          <w:cantSplit/>
        </w:trPr>
        <w:tc>
          <w:tcPr>
            <w:tcW w:type="dxa" w:w="223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Reliability</w:t>
            </w:r>
          </w:p>
        </w:tc>
        <w:tc>
          <w:tcPr>
            <w:tcW w:type="dxa" w:w="705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Explain missing previews, no results, retired tools, expired sessions, failed uploads and quota states with actionable recovery.</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Security</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Server-only elevated credentials, input validation, role checks, rate limits for authentication/uploads, migrations, backup and restore verification.</w:t>
            </w:r>
          </w:p>
        </w:tc>
      </w:tr>
    </w:tbl>
    <w:p>
      <w:pPr>
        <w:spacing w:after="20"/>
      </w:pPr>
    </w:p>
    <w:p>
      <w:pPr>
        <w:pStyle w:val="Heading1"/>
        <w:spacing w:before="280" w:after="100"/>
        <w:keepNext/>
      </w:pPr>
      <w:r>
        <w:rPr>
          <w:rFonts w:ascii="Aptos" w:hAnsi="Aptos"/>
          <w:b/>
          <w:i w:val="0"/>
          <w:color w:val="12111A"/>
          <w:sz w:val="32"/>
        </w:rPr>
        <w:t>12 Beta Metrics and Launch Gate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Metric</w:t>
            </w:r>
          </w:p>
        </w:tc>
        <w:tc>
          <w:tcPr>
            <w:tcW w:type="dxa" w:w="5328"/>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Definition</w:t>
            </w:r>
          </w:p>
        </w:tc>
        <w:tc>
          <w:tcPr>
            <w:tcW w:type="dxa" w:w="2015"/>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Initial diagnostic target</w:t>
            </w:r>
          </w:p>
        </w:tc>
      </w:tr>
      <w:tr>
        <w:trPr>
          <w:cantSplit/>
        </w:trPr>
        <w:tc>
          <w:tcPr>
            <w:tcW w:type="dxa" w:w="194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Prompt use</w:t>
            </w:r>
          </w:p>
        </w:tc>
        <w:tc>
          <w:tcPr>
            <w:tcW w:type="dxa" w:w="532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Successful copies divided by style-detail sessions.</w:t>
            </w:r>
          </w:p>
        </w:tc>
        <w:tc>
          <w:tcPr>
            <w:tcW w:type="dxa" w:w="2015"/>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25 percent or more</w:t>
            </w:r>
          </w:p>
        </w:tc>
      </w:tr>
      <w:tr>
        <w:trPr>
          <w:cantSplit/>
        </w:trPr>
        <w:tc>
          <w:tcPr>
            <w:tcW w:type="dxa" w:w="194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Account activation</w:t>
            </w:r>
          </w:p>
        </w:tc>
        <w:tc>
          <w:tcPr>
            <w:tcW w:type="dxa" w:w="532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New accounts that save a style or upload a creation within seven days.</w:t>
            </w:r>
          </w:p>
        </w:tc>
        <w:tc>
          <w:tcPr>
            <w:tcW w:type="dxa" w:w="2015"/>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40 percent or more</w:t>
            </w:r>
          </w:p>
        </w:tc>
      </w:tr>
      <w:tr>
        <w:trPr>
          <w:cantSplit/>
        </w:trPr>
        <w:tc>
          <w:tcPr>
            <w:tcW w:type="dxa" w:w="194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Repeat use</w:t>
            </w:r>
          </w:p>
        </w:tc>
        <w:tc>
          <w:tcPr>
            <w:tcW w:type="dxa" w:w="532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Activated accounts completing a meaningful action the following week.</w:t>
            </w:r>
          </w:p>
        </w:tc>
        <w:tc>
          <w:tcPr>
            <w:tcW w:type="dxa" w:w="2015"/>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20 percent or more</w:t>
            </w:r>
          </w:p>
        </w:tc>
      </w:tr>
      <w:tr>
        <w:trPr>
          <w:cantSplit/>
        </w:trPr>
        <w:tc>
          <w:tcPr>
            <w:tcW w:type="dxa" w:w="1944"/>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Reported usefulness</w:t>
            </w:r>
          </w:p>
        </w:tc>
        <w:tc>
          <w:tcPr>
            <w:tcW w:type="dxa" w:w="532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Respondents satisfied with both style and recognizable subject divided by respondents attempting a result.</w:t>
            </w:r>
          </w:p>
        </w:tc>
        <w:tc>
          <w:tcPr>
            <w:tcW w:type="dxa" w:w="2015"/>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60 percent or more, with sample size shown</w:t>
            </w:r>
          </w:p>
        </w:tc>
      </w:tr>
      <w:tr>
        <w:trPr>
          <w:cantSplit/>
        </w:trPr>
        <w:tc>
          <w:tcPr>
            <w:tcW w:type="dxa" w:w="1944"/>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Upload reliability</w:t>
            </w:r>
          </w:p>
        </w:tc>
        <w:tc>
          <w:tcPr>
            <w:tcW w:type="dxa" w:w="532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Completed valid uploads divided by initiated valid uploads.</w:t>
            </w:r>
          </w:p>
        </w:tc>
        <w:tc>
          <w:tcPr>
            <w:tcW w:type="dxa" w:w="2015"/>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95 percent or more</w:t>
            </w:r>
          </w:p>
        </w:tc>
      </w:tr>
    </w:tbl>
    <w:p>
      <w:pPr>
        <w:spacing w:after="20"/>
      </w:pPr>
    </w:p>
    <w:p>
      <w:pPr>
        <w:pStyle w:val="Heading2"/>
        <w:spacing w:before="160" w:after="100"/>
        <w:keepNext/>
      </w:pPr>
      <w:r>
        <w:rPr>
          <w:rFonts w:ascii="Aptos" w:hAnsi="Aptos"/>
          <w:b/>
          <w:i w:val="0"/>
          <w:color w:val="12111A"/>
          <w:sz w:val="24"/>
        </w:rPr>
        <w:t>V0 beta gate</w:t>
      </w:r>
    </w:p>
    <w:p>
      <w:pPr>
        <w:pStyle w:val="ListBullet"/>
        <w:spacing w:after="60" w:line="269" w:lineRule="auto"/>
      </w:pPr>
      <w:r>
        <w:rPr>
          <w:rFonts w:ascii="Aptos" w:hAnsi="Aptos"/>
          <w:b w:val="0"/>
          <w:i w:val="0"/>
          <w:color w:val="12111A"/>
          <w:sz w:val="20"/>
        </w:rPr>
        <w:t>Run 12 photo-owner task sessions with the beta catalog and ask participants to use photos they are permitted to use.</w:t>
      </w:r>
    </w:p>
    <w:p>
      <w:pPr>
        <w:pStyle w:val="ListBullet"/>
        <w:spacing w:after="60" w:line="269" w:lineRule="auto"/>
      </w:pPr>
      <w:r>
        <w:rPr>
          <w:rFonts w:ascii="Aptos" w:hAnsi="Aptos"/>
          <w:b w:val="0"/>
          <w:i w:val="0"/>
          <w:color w:val="12111A"/>
          <w:sz w:val="20"/>
        </w:rPr>
        <w:t>Eight of 12 participants should finish the flow without help, and six should create a result worth keeping within three attempts.</w:t>
      </w:r>
    </w:p>
    <w:p>
      <w:pPr>
        <w:pStyle w:val="ListBullet"/>
        <w:spacing w:after="60" w:line="269" w:lineRule="auto"/>
      </w:pPr>
      <w:r>
        <w:rPr>
          <w:rFonts w:ascii="Aptos" w:hAnsi="Aptos"/>
          <w:b w:val="0"/>
          <w:i w:val="0"/>
          <w:color w:val="12111A"/>
          <w:sz w:val="20"/>
        </w:rPr>
        <w:t>All published recipes have authorized evidence, an actual tested prompt variant, source requirements and preservation limits.</w:t>
      </w:r>
    </w:p>
    <w:p>
      <w:pPr>
        <w:pStyle w:val="ListBullet"/>
        <w:spacing w:after="60" w:line="269" w:lineRule="auto"/>
      </w:pPr>
      <w:r>
        <w:rPr>
          <w:rFonts w:ascii="Aptos" w:hAnsi="Aptos"/>
          <w:b w:val="0"/>
          <w:i w:val="0"/>
          <w:color w:val="12111A"/>
          <w:sz w:val="20"/>
        </w:rPr>
        <w:t>Cross-account read, edit, download and delete attempts are denied; standard users are denied admin routes and mutations.</w:t>
      </w:r>
    </w:p>
    <w:p>
      <w:pPr>
        <w:pStyle w:val="ListBullet"/>
        <w:spacing w:after="60" w:line="269" w:lineRule="auto"/>
      </w:pPr>
      <w:r>
        <w:rPr>
          <w:rFonts w:ascii="Aptos" w:hAnsi="Aptos"/>
          <w:b w:val="0"/>
          <w:i w:val="0"/>
          <w:color w:val="12111A"/>
          <w:sz w:val="20"/>
        </w:rPr>
        <w:t>Google and magic links handle return-to-action, expiration and recovery. Upload errors, quota errors and deletion work as documented.</w:t>
      </w:r>
    </w:p>
    <w:p>
      <w:pPr>
        <w:pStyle w:val="Heading1"/>
        <w:spacing w:before="280" w:after="100"/>
        <w:keepNext/>
      </w:pPr>
      <w:r>
        <w:rPr>
          <w:rFonts w:ascii="Aptos" w:hAnsi="Aptos"/>
          <w:b/>
          <w:i w:val="0"/>
          <w:color w:val="12111A"/>
          <w:sz w:val="32"/>
        </w:rPr>
        <w:t>13 Delivery Phases After Phase 0</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Phase</w:t>
            </w:r>
          </w:p>
        </w:tc>
        <w:tc>
          <w:tcPr>
            <w:tcW w:type="dxa" w:w="4320"/>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Main output</w:t>
            </w:r>
          </w:p>
        </w:tc>
        <w:tc>
          <w:tcPr>
            <w:tcW w:type="dxa" w:w="3168"/>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Exit condition</w:t>
            </w:r>
          </w:p>
        </w:tc>
      </w:tr>
      <w:tr>
        <w:trPr>
          <w:cantSplit/>
        </w:trPr>
        <w:tc>
          <w:tcPr>
            <w:tcW w:type="dxa" w:w="18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1 UI port</w:t>
            </w:r>
          </w:p>
        </w:tc>
        <w:tc>
          <w:tcPr>
            <w:tcW w:type="dxa" w:w="432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Reusable responsive shell and approved prototype screens.</w:t>
            </w:r>
          </w:p>
        </w:tc>
        <w:tc>
          <w:tcPr>
            <w:tcW w:type="dxa" w:w="316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Home, Explore, Style detail and Library views match the intended design.</w:t>
            </w:r>
          </w:p>
        </w:tc>
      </w:tr>
      <w:tr>
        <w:trPr>
          <w:cantSplit/>
        </w:trPr>
        <w:tc>
          <w:tcPr>
            <w:tcW w:type="dxa" w:w="18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2 Public catalog</w:t>
            </w:r>
          </w:p>
        </w:tc>
        <w:tc>
          <w:tcPr>
            <w:tcW w:type="dxa" w:w="432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Seeded catalog, browsing, filters, style detail and prompt copy.</w:t>
            </w:r>
          </w:p>
        </w:tc>
        <w:tc>
          <w:tcPr>
            <w:tcW w:type="dxa" w:w="316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 guest completes discovery and copy with tested static data.</w:t>
            </w:r>
          </w:p>
        </w:tc>
      </w:tr>
      <w:tr>
        <w:trPr>
          <w:cantSplit/>
        </w:trPr>
        <w:tc>
          <w:tcPr>
            <w:tcW w:type="dxa" w:w="18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3 Data integration</w:t>
            </w:r>
          </w:p>
        </w:tc>
        <w:tc>
          <w:tcPr>
            <w:tcW w:type="dxa" w:w="432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Migrations, catalog data, assets, server-side querying and public metadata.</w:t>
            </w:r>
          </w:p>
        </w:tc>
        <w:tc>
          <w:tcPr>
            <w:tcW w:type="dxa" w:w="316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Public catalog loads from the database.</w:t>
            </w:r>
          </w:p>
        </w:tc>
      </w:tr>
      <w:tr>
        <w:trPr>
          <w:cantSplit/>
        </w:trPr>
        <w:tc>
          <w:tcPr>
            <w:tcW w:type="dxa" w:w="18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4 Accounts and library</w:t>
            </w:r>
          </w:p>
        </w:tc>
        <w:tc>
          <w:tcPr>
            <w:tcW w:type="dxa" w:w="432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Google/magic link, saved styles and collections.</w:t>
            </w:r>
          </w:p>
        </w:tc>
        <w:tc>
          <w:tcPr>
            <w:tcW w:type="dxa" w:w="316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Users save and organize styles across sessions.</w:t>
            </w:r>
          </w:p>
        </w:tc>
      </w:tr>
      <w:tr>
        <w:trPr>
          <w:cantSplit/>
        </w:trPr>
        <w:tc>
          <w:tcPr>
            <w:tcW w:type="dxa" w:w="180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5 Private creations</w:t>
            </w:r>
          </w:p>
        </w:tc>
        <w:tc>
          <w:tcPr>
            <w:tcW w:type="dxa" w:w="432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Secure upload, private library, comparison, prompt snapshots and deletion.</w:t>
            </w:r>
          </w:p>
        </w:tc>
        <w:tc>
          <w:tcPr>
            <w:tcW w:type="dxa" w:w="3168"/>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Only the owner can access every user file and record.</w:t>
            </w:r>
          </w:p>
        </w:tc>
      </w:tr>
      <w:tr>
        <w:trPr>
          <w:cantSplit/>
        </w:trPr>
        <w:tc>
          <w:tcPr>
            <w:tcW w:type="dxa" w:w="180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6 Editorial and beta</w:t>
            </w:r>
          </w:p>
        </w:tc>
        <w:tc>
          <w:tcPr>
            <w:tcW w:type="dxa" w:w="432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Admin workflow, QA, analytics, monitoring and invited beta.</w:t>
            </w:r>
          </w:p>
        </w:tc>
        <w:tc>
          <w:tcPr>
            <w:tcW w:type="dxa" w:w="3168"/>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Acceptance criteria and beta gate pass.</w:t>
            </w:r>
          </w:p>
        </w:tc>
      </w:tr>
    </w:tbl>
    <w:p>
      <w:pPr>
        <w:spacing w:after="20"/>
      </w:pPr>
    </w:p>
    <w:p>
      <w:pPr>
        <w:pStyle w:val="Heading1"/>
        <w:spacing w:before="280" w:after="100"/>
        <w:keepNext/>
      </w:pPr>
      <w:r>
        <w:rPr>
          <w:rFonts w:ascii="Aptos" w:hAnsi="Aptos"/>
          <w:b/>
          <w:i w:val="0"/>
          <w:color w:val="12111A"/>
          <w:sz w:val="32"/>
        </w:rPr>
        <w:t>14 Decisions to Lock in Phase 0</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Decision</w:t>
            </w:r>
          </w:p>
        </w:tc>
        <w:tc>
          <w:tcPr>
            <w:tcW w:type="dxa" w:w="7056"/>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Owner action before feature development</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Initial catalog</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Select the first 12 to 20 styles and assign the primary tested external tool for each recipe.</w:t>
            </w:r>
          </w:p>
        </w:tc>
      </w:tr>
      <w:tr>
        <w:trPr>
          <w:cantSplit/>
        </w:trPr>
        <w:tc>
          <w:tcPr>
            <w:tcW w:type="dxa" w:w="223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Content ownership</w:t>
            </w:r>
          </w:p>
        </w:tc>
        <w:tc>
          <w:tcPr>
            <w:tcW w:type="dxa" w:w="705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Confirm who tests recipes, maintains examples, records permissions and handles quality review.</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Quota</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Confirm the initial 10 MB/file and 25-creation defaults, storage budget and backup-retention disclosure.</w:t>
            </w:r>
          </w:p>
        </w:tc>
      </w:tr>
      <w:tr>
        <w:trPr>
          <w:cantSplit/>
        </w:trPr>
        <w:tc>
          <w:tcPr>
            <w:tcW w:type="dxa" w:w="223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Brand assets</w:t>
            </w:r>
          </w:p>
        </w:tc>
        <w:tc>
          <w:tcPr>
            <w:tcW w:type="dxa" w:w="705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Confirm final hero-film artwork, logo treatment, domain availability and legal ownership of all catalogue examples.</w:t>
            </w:r>
          </w:p>
        </w:tc>
      </w:tr>
      <w:tr>
        <w:trPr>
          <w:cantSplit/>
        </w:trPr>
        <w:tc>
          <w:tcPr>
            <w:tcW w:type="dxa" w:w="2232"/>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Policies</w:t>
            </w:r>
          </w:p>
        </w:tc>
        <w:tc>
          <w:tcPr>
            <w:tcW w:type="dxa" w:w="7056"/>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Prepare privacy policy, terms, content/reporting rules and account-deletion wording before an external beta.</w:t>
            </w:r>
          </w:p>
        </w:tc>
      </w:tr>
      <w:tr>
        <w:trPr>
          <w:cantSplit/>
        </w:trPr>
        <w:tc>
          <w:tcPr>
            <w:tcW w:type="dxa" w:w="2232"/>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Analytics</w:t>
            </w:r>
          </w:p>
        </w:tc>
        <w:tc>
          <w:tcPr>
            <w:tcW w:type="dxa" w:w="7056"/>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Confirm the privacy-safe event list: style_view, prompt_copy, external_tool_click, style_save and creation_upload.</w:t>
            </w:r>
          </w:p>
        </w:tc>
      </w:tr>
    </w:tbl>
    <w:p>
      <w:pPr>
        <w:spacing w:after="20"/>
      </w:pPr>
    </w:p>
    <w:p>
      <w:pPr>
        <w:pStyle w:val="Heading1"/>
        <w:spacing w:before="280" w:after="100"/>
        <w:keepNext/>
      </w:pPr>
      <w:r>
        <w:rPr>
          <w:rFonts w:ascii="Aptos" w:hAnsi="Aptos"/>
          <w:b/>
          <w:i w:val="0"/>
          <w:color w:val="12111A"/>
          <w:sz w:val="32"/>
        </w:rPr>
        <w:t>15 Immediate Next Step</w:t>
      </w:r>
    </w:p>
    <w:p>
      <w:pPr>
        <w:spacing w:before="0" w:after="140" w:line="276" w:lineRule="auto"/>
      </w:pPr>
      <w:r>
        <w:rPr>
          <w:rFonts w:ascii="Aptos" w:hAnsi="Aptos"/>
          <w:b w:val="0"/>
          <w:i w:val="0"/>
          <w:color w:val="12111A"/>
          <w:sz w:val="21"/>
        </w:rPr>
        <w:t>Use the accompanying Phase 0 Implementation Guide to turn this specification into a build-ready repository and decision record. Do not begin catalog or account features until the following work is complete.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007"/>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Order</w:t>
            </w:r>
          </w:p>
        </w:tc>
        <w:tc>
          <w:tcPr>
            <w:tcW w:type="dxa" w:w="8280"/>
            <w:shd w:fill="12111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pPr>
            <w:r>
              <w:rPr>
                <w:rFonts w:ascii="Aptos" w:hAnsi="Aptos"/>
                <w:b/>
                <w:i w:val="0"/>
                <w:color w:val="FFFFFF"/>
                <w:sz w:val="17"/>
              </w:rPr>
              <w:t>Required work</w:t>
            </w:r>
          </w:p>
        </w:tc>
      </w:tr>
      <w:tr>
        <w:trPr>
          <w:cantSplit/>
        </w:trPr>
        <w:tc>
          <w:tcPr>
            <w:tcW w:type="dxa" w:w="1007"/>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1</w:t>
            </w:r>
          </w:p>
        </w:tc>
        <w:tc>
          <w:tcPr>
            <w:tcW w:type="dxa" w:w="828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Create the project foundation, development environments and repository documentation structure.</w:t>
            </w:r>
          </w:p>
        </w:tc>
      </w:tr>
      <w:tr>
        <w:trPr>
          <w:cantSplit/>
        </w:trPr>
        <w:tc>
          <w:tcPr>
            <w:tcW w:type="dxa" w:w="1007"/>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2</w:t>
            </w:r>
          </w:p>
        </w:tc>
        <w:tc>
          <w:tcPr>
            <w:tcW w:type="dxa" w:w="828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Finalize the initial style register, each recipe's external tool/mode and the permission record for its examples.</w:t>
            </w:r>
          </w:p>
        </w:tc>
      </w:tr>
      <w:tr>
        <w:trPr>
          <w:cantSplit/>
        </w:trPr>
        <w:tc>
          <w:tcPr>
            <w:tcW w:type="dxa" w:w="1007"/>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3</w:t>
            </w:r>
          </w:p>
        </w:tc>
        <w:tc>
          <w:tcPr>
            <w:tcW w:type="dxa" w:w="828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Approve the data model, private-storage boundaries and ownership rules before any user-upload feature is coded.</w:t>
            </w:r>
          </w:p>
        </w:tc>
      </w:tr>
      <w:tr>
        <w:trPr>
          <w:cantSplit/>
        </w:trPr>
        <w:tc>
          <w:tcPr>
            <w:tcW w:type="dxa" w:w="1007"/>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4</w:t>
            </w:r>
          </w:p>
        </w:tc>
        <w:tc>
          <w:tcPr>
            <w:tcW w:type="dxa" w:w="8280"/>
            <w:shd w:fill="F7F6FA"/>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Record the approved prototype handoff, including the film-strip hero visual and responsive behaviour.</w:t>
            </w:r>
          </w:p>
        </w:tc>
      </w:tr>
      <w:tr>
        <w:trPr>
          <w:cantSplit/>
        </w:trPr>
        <w:tc>
          <w:tcPr>
            <w:tcW w:type="dxa" w:w="1007"/>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5</w:t>
            </w:r>
          </w:p>
        </w:tc>
        <w:tc>
          <w:tcPr>
            <w:tcW w:type="dxa" w:w="8280"/>
            <w:tcBorders>
              <w:top w:val="single" w:sz="6" w:space="0" w:color="D9D6E6"/>
              <w:left w:val="single" w:sz="6" w:space="0" w:color="D9D6E6"/>
              <w:bottom w:val="single" w:sz="6" w:space="0" w:color="D9D6E6"/>
              <w:right w:val="single" w:sz="6" w:space="0" w:color="D9D6E6"/>
              <w:insideH w:val="single" w:sz="6" w:space="0" w:color="D9D6E6"/>
              <w:insideV w:val="single" w:sz="6" w:space="0" w:color="D9D6E6"/>
            </w:tcBorders>
            <w:tcMar>
              <w:top w:w="90" w:type="dxa"/>
              <w:start w:w="110" w:type="dxa"/>
              <w:bottom w:w="90" w:type="dxa"/>
              <w:end w:w="110" w:type="dxa"/>
            </w:tcMar>
            <w:vAlign w:val="center"/>
          </w:tcPr>
          <w:p>
            <w:pPr>
              <w:spacing w:after="0" w:line="259" w:lineRule="auto"/>
            </w:pPr>
            <w:r>
              <w:rPr>
                <w:rFonts w:ascii="Aptos" w:hAnsi="Aptos"/>
                <w:b w:val="0"/>
                <w:i w:val="0"/>
                <w:color w:val="12111A"/>
                <w:sz w:val="17"/>
              </w:rPr>
              <w:t>Run the Phase 0 review checklist, then start Phase 1 with reusable UI components and realistic local catalog data.</w:t>
            </w:r>
          </w:p>
        </w:tc>
      </w:tr>
    </w:tbl>
    <w:p>
      <w:pPr>
        <w:spacing w:after="20"/>
      </w:pPr>
    </w:p>
    <w:sectPr w:rsidR="00FC693F" w:rsidRPr="0006063C" w:rsidSect="00034616">
      <w:footerReference w:type="default" r:id="rId9"/>
      <w:pgSz w:w="12240" w:h="15840"/>
      <w:pgMar w:top="979"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Aptos" w:hAnsi="Aptos"/>
        <w:b w:val="0"/>
        <w:i w:val="0"/>
        <w:color w:val="5D5A6D"/>
        <w:sz w:val="16"/>
      </w:rPr>
      <w:t>AI Prompt Grid  |  V0 Product Specification</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211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11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11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211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1211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2111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