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9E72" w14:textId="77777777" w:rsidR="00083274" w:rsidRDefault="00CD44F7">
      <w:pPr>
        <w:pStyle w:val="aa"/>
      </w:pPr>
      <w:r>
        <w:rPr>
          <w:rFonts w:cs="Times New Roman"/>
        </w:rPr>
        <w:t>技术交底书</w:t>
      </w:r>
    </w:p>
    <w:tbl>
      <w:tblPr>
        <w:tblW w:w="8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2"/>
        <w:gridCol w:w="3147"/>
        <w:gridCol w:w="1672"/>
        <w:gridCol w:w="2581"/>
      </w:tblGrid>
      <w:tr w:rsidR="00083274" w14:paraId="3A683CA9" w14:textId="77777777">
        <w:trPr>
          <w:cantSplit/>
          <w:jc w:val="center"/>
        </w:trPr>
        <w:tc>
          <w:tcPr>
            <w:tcW w:w="1502" w:type="dxa"/>
            <w:shd w:val="clear" w:color="auto" w:fill="FFFFFF"/>
            <w:tcMar>
              <w:top w:w="90" w:type="dxa"/>
              <w:left w:w="85" w:type="dxa"/>
              <w:bottom w:w="90" w:type="dxa"/>
              <w:right w:w="85" w:type="dxa"/>
            </w:tcMar>
            <w:vAlign w:val="center"/>
          </w:tcPr>
          <w:p w14:paraId="11B551CF" w14:textId="77777777" w:rsidR="00083274" w:rsidRDefault="00CD44F7">
            <w:pPr>
              <w:keepNext/>
              <w:keepLines/>
              <w:spacing w:after="0" w:line="348" w:lineRule="exact"/>
              <w:ind w:firstLine="0"/>
              <w:jc w:val="center"/>
            </w:pPr>
            <w:r>
              <w:rPr>
                <w:rFonts w:cs="Times New Roman"/>
                <w:b/>
              </w:rPr>
              <w:t>专利名称</w:t>
            </w:r>
          </w:p>
        </w:tc>
        <w:tc>
          <w:tcPr>
            <w:tcW w:w="3146" w:type="dxa"/>
            <w:tcMar>
              <w:top w:w="90" w:type="dxa"/>
              <w:left w:w="85" w:type="dxa"/>
              <w:bottom w:w="90" w:type="dxa"/>
              <w:right w:w="85" w:type="dxa"/>
            </w:tcMar>
            <w:vAlign w:val="center"/>
          </w:tcPr>
          <w:p w14:paraId="7410363B" w14:textId="77777777" w:rsidR="00083274" w:rsidRDefault="00CD44F7">
            <w:pPr>
              <w:keepNext/>
              <w:keepLines/>
              <w:spacing w:after="0" w:line="348" w:lineRule="exact"/>
              <w:ind w:firstLine="0"/>
              <w:jc w:val="left"/>
            </w:pPr>
            <w:r>
              <w:rPr>
                <w:rFonts w:cs="Times New Roman"/>
              </w:rPr>
              <w:t>一种基于失效邻域的自动驾驶测试调度方法</w:t>
            </w:r>
          </w:p>
        </w:tc>
        <w:tc>
          <w:tcPr>
            <w:tcW w:w="1672" w:type="dxa"/>
            <w:shd w:val="clear" w:color="auto" w:fill="FFFFFF"/>
            <w:tcMar>
              <w:top w:w="90" w:type="dxa"/>
              <w:left w:w="85" w:type="dxa"/>
              <w:bottom w:w="90" w:type="dxa"/>
              <w:right w:w="85" w:type="dxa"/>
            </w:tcMar>
            <w:vAlign w:val="center"/>
          </w:tcPr>
          <w:p w14:paraId="2CFD72F1" w14:textId="77777777" w:rsidR="00083274" w:rsidRDefault="00CD44F7">
            <w:pPr>
              <w:keepNext/>
              <w:keepLines/>
              <w:spacing w:after="0" w:line="348" w:lineRule="exact"/>
              <w:ind w:firstLine="0"/>
              <w:jc w:val="center"/>
            </w:pPr>
            <w:r>
              <w:rPr>
                <w:rFonts w:cs="Times New Roman"/>
                <w:b/>
              </w:rPr>
              <w:t>所属技术领域</w:t>
            </w:r>
          </w:p>
        </w:tc>
        <w:tc>
          <w:tcPr>
            <w:tcW w:w="2580" w:type="dxa"/>
            <w:tcMar>
              <w:top w:w="90" w:type="dxa"/>
              <w:left w:w="85" w:type="dxa"/>
              <w:bottom w:w="90" w:type="dxa"/>
              <w:right w:w="85" w:type="dxa"/>
            </w:tcMar>
            <w:vAlign w:val="center"/>
          </w:tcPr>
          <w:p w14:paraId="122F449F" w14:textId="57057D52" w:rsidR="00083274" w:rsidRDefault="0076757E">
            <w:pPr>
              <w:keepNext/>
              <w:keepLines/>
              <w:spacing w:after="0" w:line="348" w:lineRule="exact"/>
              <w:ind w:firstLine="0"/>
              <w:jc w:val="left"/>
            </w:pPr>
            <w:r>
              <w:rPr>
                <w:rFonts w:cs="Times New Roman" w:hint="eastAsia"/>
                <w:lang w:eastAsia="zh-CN"/>
              </w:rPr>
              <w:t>人工智能、</w:t>
            </w:r>
            <w:r w:rsidR="00CD44F7">
              <w:rPr>
                <w:rFonts w:cs="Times New Roman"/>
              </w:rPr>
              <w:t>自动驾驶</w:t>
            </w:r>
            <w:r w:rsidR="00CD44F7">
              <w:rPr>
                <w:rFonts w:cs="Times New Roman"/>
              </w:rPr>
              <w:t>、</w:t>
            </w:r>
            <w:r w:rsidR="00CD44F7">
              <w:rPr>
                <w:rFonts w:cs="Times New Roman"/>
              </w:rPr>
              <w:br/>
            </w:r>
            <w:r w:rsidR="00CD44F7">
              <w:rPr>
                <w:rFonts w:cs="Times New Roman"/>
              </w:rPr>
              <w:t>智能交通</w:t>
            </w:r>
          </w:p>
        </w:tc>
      </w:tr>
      <w:tr w:rsidR="00083274" w14:paraId="1B688FB4" w14:textId="77777777">
        <w:trPr>
          <w:cantSplit/>
          <w:jc w:val="center"/>
        </w:trPr>
        <w:tc>
          <w:tcPr>
            <w:tcW w:w="1502" w:type="dxa"/>
            <w:shd w:val="clear" w:color="auto" w:fill="FFFFFF"/>
            <w:tcMar>
              <w:top w:w="90" w:type="dxa"/>
              <w:left w:w="85" w:type="dxa"/>
              <w:bottom w:w="90" w:type="dxa"/>
              <w:right w:w="85" w:type="dxa"/>
            </w:tcMar>
            <w:vAlign w:val="center"/>
          </w:tcPr>
          <w:p w14:paraId="4BEC0260" w14:textId="77777777" w:rsidR="00083274" w:rsidRDefault="00CD44F7">
            <w:pPr>
              <w:keepNext/>
              <w:keepLines/>
              <w:spacing w:after="0" w:line="348" w:lineRule="exact"/>
              <w:ind w:firstLine="0"/>
              <w:jc w:val="center"/>
            </w:pPr>
            <w:r>
              <w:rPr>
                <w:rFonts w:cs="Times New Roman"/>
                <w:b/>
              </w:rPr>
              <w:t>专利发明人或设计人</w:t>
            </w:r>
          </w:p>
        </w:tc>
        <w:tc>
          <w:tcPr>
            <w:tcW w:w="3146" w:type="dxa"/>
            <w:tcMar>
              <w:top w:w="90" w:type="dxa"/>
              <w:left w:w="85" w:type="dxa"/>
              <w:bottom w:w="90" w:type="dxa"/>
              <w:right w:w="85" w:type="dxa"/>
            </w:tcMar>
            <w:vAlign w:val="center"/>
          </w:tcPr>
          <w:p w14:paraId="3823F4B1" w14:textId="093A3B9F" w:rsidR="00083274" w:rsidRDefault="00851A88">
            <w:pPr>
              <w:keepNext/>
              <w:keepLines/>
              <w:spacing w:after="0" w:line="348" w:lineRule="exact"/>
              <w:ind w:firstLine="0"/>
              <w:jc w:val="left"/>
              <w:rPr>
                <w:rFonts w:hint="eastAsia"/>
                <w:lang w:eastAsia="zh-CN"/>
              </w:rPr>
            </w:pPr>
            <w:r>
              <w:rPr>
                <w:rFonts w:cs="Times New Roman" w:hint="eastAsia"/>
                <w:lang w:eastAsia="zh-CN"/>
              </w:rPr>
              <w:t>蒋拯民、潘毅、李慧云、颜炯超</w:t>
            </w:r>
          </w:p>
        </w:tc>
        <w:tc>
          <w:tcPr>
            <w:tcW w:w="1672" w:type="dxa"/>
            <w:shd w:val="clear" w:color="auto" w:fill="FFFFFF"/>
            <w:tcMar>
              <w:top w:w="90" w:type="dxa"/>
              <w:left w:w="85" w:type="dxa"/>
              <w:bottom w:w="90" w:type="dxa"/>
              <w:right w:w="85" w:type="dxa"/>
            </w:tcMar>
            <w:vAlign w:val="center"/>
          </w:tcPr>
          <w:p w14:paraId="566EFFA5" w14:textId="77777777" w:rsidR="00083274" w:rsidRDefault="00CD44F7">
            <w:pPr>
              <w:keepNext/>
              <w:keepLines/>
              <w:spacing w:after="0" w:line="348" w:lineRule="exact"/>
              <w:ind w:firstLine="0"/>
              <w:jc w:val="center"/>
            </w:pPr>
            <w:r>
              <w:rPr>
                <w:rFonts w:cs="Times New Roman"/>
                <w:b/>
              </w:rPr>
              <w:t>技术交底书</w:t>
            </w:r>
            <w:r>
              <w:rPr>
                <w:rFonts w:cs="Times New Roman"/>
                <w:b/>
              </w:rPr>
              <w:br/>
            </w:r>
            <w:r>
              <w:rPr>
                <w:rFonts w:cs="Times New Roman"/>
                <w:b/>
              </w:rPr>
              <w:t>撰写人</w:t>
            </w:r>
          </w:p>
        </w:tc>
        <w:tc>
          <w:tcPr>
            <w:tcW w:w="2580" w:type="dxa"/>
            <w:tcMar>
              <w:top w:w="90" w:type="dxa"/>
              <w:left w:w="85" w:type="dxa"/>
              <w:bottom w:w="90" w:type="dxa"/>
              <w:right w:w="85" w:type="dxa"/>
            </w:tcMar>
            <w:vAlign w:val="center"/>
          </w:tcPr>
          <w:p w14:paraId="7B523282" w14:textId="4F95234C" w:rsidR="00083274" w:rsidRDefault="00851A88">
            <w:pPr>
              <w:keepNext/>
              <w:keepLines/>
              <w:spacing w:after="0" w:line="348" w:lineRule="exact"/>
              <w:ind w:firstLine="0"/>
              <w:jc w:val="left"/>
            </w:pPr>
            <w:r>
              <w:rPr>
                <w:rFonts w:cs="Times New Roman" w:hint="eastAsia"/>
                <w:lang w:eastAsia="zh-CN"/>
              </w:rPr>
              <w:t>蒋拯民</w:t>
            </w:r>
          </w:p>
        </w:tc>
      </w:tr>
      <w:tr w:rsidR="00083274" w14:paraId="7846F057" w14:textId="77777777">
        <w:trPr>
          <w:cantSplit/>
          <w:jc w:val="center"/>
        </w:trPr>
        <w:tc>
          <w:tcPr>
            <w:tcW w:w="1502" w:type="dxa"/>
            <w:shd w:val="clear" w:color="auto" w:fill="FFFFFF"/>
            <w:tcMar>
              <w:top w:w="90" w:type="dxa"/>
              <w:left w:w="85" w:type="dxa"/>
              <w:bottom w:w="90" w:type="dxa"/>
              <w:right w:w="85" w:type="dxa"/>
            </w:tcMar>
            <w:vAlign w:val="center"/>
          </w:tcPr>
          <w:p w14:paraId="155DA437" w14:textId="77777777" w:rsidR="00083274" w:rsidRDefault="00CD44F7">
            <w:pPr>
              <w:keepLines/>
              <w:spacing w:after="0" w:line="348" w:lineRule="exact"/>
              <w:ind w:firstLine="0"/>
              <w:jc w:val="center"/>
            </w:pPr>
            <w:r>
              <w:rPr>
                <w:rFonts w:cs="Times New Roman"/>
                <w:b/>
              </w:rPr>
              <w:t>技术问题</w:t>
            </w:r>
            <w:r>
              <w:rPr>
                <w:rFonts w:cs="Times New Roman"/>
                <w:b/>
              </w:rPr>
              <w:br/>
            </w:r>
            <w:r>
              <w:rPr>
                <w:rFonts w:cs="Times New Roman"/>
                <w:b/>
              </w:rPr>
              <w:t>联系人</w:t>
            </w:r>
          </w:p>
        </w:tc>
        <w:tc>
          <w:tcPr>
            <w:tcW w:w="3146" w:type="dxa"/>
            <w:tcMar>
              <w:top w:w="90" w:type="dxa"/>
              <w:left w:w="85" w:type="dxa"/>
              <w:bottom w:w="90" w:type="dxa"/>
              <w:right w:w="85" w:type="dxa"/>
            </w:tcMar>
            <w:vAlign w:val="center"/>
          </w:tcPr>
          <w:p w14:paraId="447191D2" w14:textId="4128C318" w:rsidR="00083274" w:rsidRDefault="00851A88">
            <w:pPr>
              <w:keepLines/>
              <w:spacing w:after="0" w:line="348" w:lineRule="exact"/>
              <w:ind w:firstLine="0"/>
              <w:jc w:val="left"/>
            </w:pPr>
            <w:r>
              <w:rPr>
                <w:rFonts w:cs="Times New Roman" w:hint="eastAsia"/>
                <w:lang w:eastAsia="zh-CN"/>
              </w:rPr>
              <w:t>蒋拯民</w:t>
            </w:r>
          </w:p>
        </w:tc>
        <w:tc>
          <w:tcPr>
            <w:tcW w:w="1672" w:type="dxa"/>
            <w:shd w:val="clear" w:color="auto" w:fill="FFFFFF"/>
            <w:tcMar>
              <w:top w:w="90" w:type="dxa"/>
              <w:left w:w="85" w:type="dxa"/>
              <w:bottom w:w="90" w:type="dxa"/>
              <w:right w:w="85" w:type="dxa"/>
            </w:tcMar>
            <w:vAlign w:val="center"/>
          </w:tcPr>
          <w:p w14:paraId="53F3F5D6" w14:textId="77777777" w:rsidR="00083274" w:rsidRDefault="00CD44F7">
            <w:pPr>
              <w:keepLines/>
              <w:spacing w:after="0" w:line="348" w:lineRule="exact"/>
              <w:ind w:firstLine="0"/>
              <w:jc w:val="center"/>
            </w:pPr>
            <w:r>
              <w:rPr>
                <w:rFonts w:cs="Times New Roman"/>
                <w:b/>
              </w:rPr>
              <w:t>电话</w:t>
            </w:r>
          </w:p>
        </w:tc>
        <w:tc>
          <w:tcPr>
            <w:tcW w:w="2580" w:type="dxa"/>
            <w:tcMar>
              <w:top w:w="90" w:type="dxa"/>
              <w:left w:w="85" w:type="dxa"/>
              <w:bottom w:w="90" w:type="dxa"/>
              <w:right w:w="85" w:type="dxa"/>
            </w:tcMar>
            <w:vAlign w:val="center"/>
          </w:tcPr>
          <w:p w14:paraId="512AF6B2" w14:textId="3C8218D0" w:rsidR="00083274" w:rsidRDefault="00851A88">
            <w:pPr>
              <w:keepLines/>
              <w:spacing w:after="0" w:line="348" w:lineRule="exact"/>
              <w:ind w:firstLine="0"/>
              <w:jc w:val="left"/>
              <w:rPr>
                <w:rFonts w:hint="eastAsia"/>
                <w:lang w:eastAsia="zh-CN"/>
              </w:rPr>
            </w:pPr>
            <w:r>
              <w:rPr>
                <w:rFonts w:cs="Times New Roman" w:hint="eastAsia"/>
                <w:lang w:eastAsia="zh-CN"/>
              </w:rPr>
              <w:t xml:space="preserve">17749028738 </w:t>
            </w:r>
            <w:r>
              <w:rPr>
                <w:rFonts w:cs="Times New Roman" w:hint="eastAsia"/>
                <w:lang w:eastAsia="zh-CN"/>
              </w:rPr>
              <w:t>（同微信）</w:t>
            </w:r>
          </w:p>
        </w:tc>
      </w:tr>
    </w:tbl>
    <w:p w14:paraId="547F261A" w14:textId="77777777" w:rsidR="00083274" w:rsidRDefault="00083274">
      <w:pPr>
        <w:spacing w:after="40" w:line="60" w:lineRule="exact"/>
        <w:ind w:firstLine="0"/>
      </w:pPr>
    </w:p>
    <w:p w14:paraId="2CE58DE3" w14:textId="77777777" w:rsidR="00083274" w:rsidRDefault="00CD44F7">
      <w:pPr>
        <w:pStyle w:val="1"/>
        <w:keepLines w:val="0"/>
      </w:pPr>
      <w:r>
        <w:rPr>
          <w:rFonts w:cs="Times New Roman"/>
        </w:rPr>
        <w:t xml:space="preserve">1 </w:t>
      </w:r>
      <w:r>
        <w:rPr>
          <w:rFonts w:cs="Times New Roman"/>
        </w:rPr>
        <w:t>技术领域与所要解决的技术问题</w:t>
      </w:r>
    </w:p>
    <w:p w14:paraId="7D80FA27" w14:textId="77777777" w:rsidR="00083274" w:rsidRDefault="00CD44F7">
      <w:r>
        <w:rPr>
          <w:rFonts w:cs="Times New Roman"/>
        </w:rPr>
        <w:t>本发明涉及自动驾驶仿真测试和测试资源调度技术领域，具体涉及一种利用失效实例与成功邻点的关联关系，比较驾驶策略版本变化，并据此安排后续仿真测试的方法。所述方法能够接入外部场景库及具有输入恢复接口的交互式交通仿真环境。</w:t>
      </w:r>
    </w:p>
    <w:p w14:paraId="5809AF50" w14:textId="77777777" w:rsidR="00083274" w:rsidRDefault="00CD44F7">
      <w:r>
        <w:rPr>
          <w:rFonts w:cs="Times New Roman"/>
        </w:rPr>
        <w:t>驾驶策略更新会改变主车与背景车辆之间的交互。同一测试条件可能由失效转为成功，也可能由成功转为失效。已有失效附近的成功条件能够提供针对性的回归检查入口，但历史成功或失效标签可能在后续版本中改变，不同区域积累的两类实例数量也可能不同。</w:t>
      </w:r>
    </w:p>
    <w:p w14:paraId="069787BA" w14:textId="77777777" w:rsidR="00083274" w:rsidRDefault="00CD44F7">
      <w:r>
        <w:rPr>
          <w:rFonts w:cs="Times New Roman"/>
        </w:rPr>
        <w:t>本发明解决的技术问题是：如何将局部失效及其成功邻点保留为可恢复的测试关系，在一致的外部输入和固定区域成员上确认策略变化，并将尚未解决的失效与新增回归分别转化为可执行的区域测试分配。所述回归失效，是指同一测试实例在本轮基准策略下成功、在待比较策略下失效。</w:t>
      </w:r>
    </w:p>
    <w:p w14:paraId="7E3EA11D" w14:textId="77777777" w:rsidR="00083274" w:rsidRDefault="00CD44F7">
      <w:pPr>
        <w:pStyle w:val="1"/>
        <w:keepLines w:val="0"/>
      </w:pPr>
      <w:r>
        <w:rPr>
          <w:rFonts w:cs="Times New Roman"/>
        </w:rPr>
        <w:t xml:space="preserve">2 </w:t>
      </w:r>
      <w:r>
        <w:rPr>
          <w:rFonts w:cs="Times New Roman"/>
        </w:rPr>
        <w:t>技术背景与相近的现有方案</w:t>
      </w:r>
    </w:p>
    <w:p w14:paraId="43B7DEBB" w14:textId="77777777" w:rsidR="00083274" w:rsidRDefault="00CD44F7">
      <w:pPr>
        <w:pStyle w:val="21"/>
        <w:keepLines w:val="0"/>
      </w:pPr>
      <w:r>
        <w:rPr>
          <w:rFonts w:cs="Times New Roman"/>
        </w:rPr>
        <w:t xml:space="preserve">2.1 </w:t>
      </w:r>
      <w:r>
        <w:rPr>
          <w:rFonts w:cs="Times New Roman"/>
        </w:rPr>
        <w:t>自动驾驶版本测试与局部场景条件</w:t>
      </w:r>
    </w:p>
    <w:p w14:paraId="7FE875E2" w14:textId="77777777" w:rsidR="00083274" w:rsidRDefault="00CD44F7">
      <w:r>
        <w:rPr>
          <w:rFonts w:cs="Times New Roman"/>
        </w:rPr>
        <w:t>自动驾驶闭环仿真通过主车动作改变后续交通状态，背景车辆再根据实际交通状态作出响应。测试实例因此既需要描述道路、初始车辆和任务等固定条件，也需要描述驾驶员特征、机动参数及逐时扰动等环境输入。恢复相同外部输入后，不同驾驶策略仍可产生不同实际轨迹，这种交互差异是版本测试需要观察的对象。</w:t>
      </w:r>
    </w:p>
    <w:p w14:paraId="13FF6A06" w14:textId="77777777" w:rsidR="00083274" w:rsidRDefault="00CD44F7">
      <w:r>
        <w:rPr>
          <w:rFonts w:cs="Times New Roman"/>
        </w:rPr>
        <w:t>失效搜索能够发现发生碰撞或违反预定要求的实例。若在保持大部分条件不变时找到邻近成功实例，两者可描述一个局部输入变化所对应的结果变化。策略更新后，测试系统还需判断这些条件是否仍然失效、是否得到修复以及是否出现新增回归，并据此安排有限的仿真资源。</w:t>
      </w:r>
    </w:p>
    <w:p w14:paraId="489312AA" w14:textId="77777777" w:rsidR="00083274" w:rsidRDefault="00CD44F7">
      <w:pPr>
        <w:pStyle w:val="21"/>
        <w:keepLines w:val="0"/>
      </w:pPr>
      <w:r>
        <w:rPr>
          <w:rFonts w:cs="Times New Roman"/>
        </w:rPr>
        <w:lastRenderedPageBreak/>
        <w:t xml:space="preserve">2.2 </w:t>
      </w:r>
      <w:r>
        <w:rPr>
          <w:rFonts w:cs="Times New Roman"/>
        </w:rPr>
        <w:t>成功与失效交界处的场景生成</w:t>
      </w:r>
    </w:p>
    <w:p w14:paraId="4D3FDD39" w14:textId="77777777" w:rsidR="00083274" w:rsidRDefault="00CD44F7">
      <w:r>
        <w:rPr>
          <w:rFonts w:cs="Times New Roman"/>
        </w:rPr>
        <w:t>US20230222267A1</w:t>
      </w:r>
      <w:r>
        <w:rPr>
          <w:rFonts w:cs="Times New Roman"/>
        </w:rPr>
        <w:t>公开基于结果不确定性的场景选择，涉及成功与失效交界附近的样本、边界两侧保留、失效模式分组及实际结果变化后的重新排序。</w:t>
      </w:r>
      <w:r>
        <w:rPr>
          <w:rFonts w:cs="Times New Roman"/>
        </w:rPr>
        <w:t>US20230222268A1</w:t>
      </w:r>
      <w:r>
        <w:rPr>
          <w:rFonts w:cs="Times New Roman"/>
        </w:rPr>
        <w:t>进一步描述基础场景与参数变体、边界附近细化、两级选择和场景数据对象；软件或边界变化可以触发再次生成。</w:t>
      </w:r>
      <w:r>
        <w:rPr>
          <w:rFonts w:cs="Times New Roman"/>
        </w:rPr>
        <w:t>[1][2]</w:t>
      </w:r>
    </w:p>
    <w:p w14:paraId="2616A8E7" w14:textId="77777777" w:rsidR="00083274" w:rsidRDefault="00CD44F7">
      <w:r>
        <w:rPr>
          <w:rFonts w:cs="Times New Roman"/>
        </w:rPr>
        <w:t>GENBO</w:t>
      </w:r>
      <w:r>
        <w:rPr>
          <w:rFonts w:cs="Times New Roman"/>
        </w:rPr>
        <w:t>在自动驾驶环境中构造成功与失效状态对，通过状态变异和二分搜索缩小两端距离，并利用所得状态和专家驾驶数据改进驾驶模型。该方案已将局部结果差异、边界细化及模型改进联系起来。</w:t>
      </w:r>
      <w:r>
        <w:rPr>
          <w:rFonts w:cs="Times New Roman"/>
        </w:rPr>
        <w:t>[3]</w:t>
      </w:r>
    </w:p>
    <w:p w14:paraId="4E5A6D8D" w14:textId="77777777" w:rsidR="00083274" w:rsidRDefault="00CD44F7">
      <w:pPr>
        <w:pStyle w:val="21"/>
        <w:keepLines w:val="0"/>
      </w:pPr>
      <w:r>
        <w:rPr>
          <w:rFonts w:cs="Times New Roman"/>
        </w:rPr>
        <w:t xml:space="preserve">2.3 </w:t>
      </w:r>
      <w:r>
        <w:rPr>
          <w:rFonts w:cs="Times New Roman"/>
        </w:rPr>
        <w:t>系统版本之间的差分测试</w:t>
      </w:r>
    </w:p>
    <w:p w14:paraId="7E298692" w14:textId="77777777" w:rsidR="00083274" w:rsidRDefault="00CD44F7">
      <w:r>
        <w:rPr>
          <w:rFonts w:cs="Times New Roman"/>
        </w:rPr>
        <w:t>差分自适应压力测试</w:t>
      </w:r>
      <w:r>
        <w:rPr>
          <w:rFonts w:cs="Times New Roman"/>
        </w:rPr>
        <w:t>DAST</w:t>
      </w:r>
      <w:r>
        <w:rPr>
          <w:rFonts w:cs="Times New Roman"/>
        </w:rPr>
        <w:t>对两个被测系统使用对应的环境随机输入，搜索其中一个系统发生危险事件而另一个系统未发生危险事件的输入序列。该方案能够支持系统替换和回归比较。</w:t>
      </w:r>
      <w:r>
        <w:rPr>
          <w:rFonts w:cs="Times New Roman"/>
        </w:rPr>
        <w:t>[4]</w:t>
      </w:r>
    </w:p>
    <w:p w14:paraId="1A1C92C4" w14:textId="77777777" w:rsidR="00083274" w:rsidRDefault="00CD44F7">
      <w:r>
        <w:rPr>
          <w:rFonts w:cs="Times New Roman"/>
        </w:rPr>
        <w:t>CoCoMagic</w:t>
      </w:r>
      <w:r>
        <w:rPr>
          <w:rFonts w:cs="Times New Roman"/>
        </w:rPr>
        <w:t>联合搜索源场景和受约束扰动，分别在参考版本与测试版本执行源场景和扰动场景，比较两个版本对预设蜕变关系的违反程度，并维护具有差异和多样性的结果档案。因此，同一组局部变化在两个版本执行以及四次运行的组织方式已有公开应用。</w:t>
      </w:r>
      <w:r>
        <w:rPr>
          <w:rFonts w:cs="Times New Roman"/>
        </w:rPr>
        <w:t>[5]</w:t>
      </w:r>
    </w:p>
    <w:p w14:paraId="55372944" w14:textId="77777777" w:rsidR="00083274" w:rsidRDefault="00CD44F7">
      <w:pPr>
        <w:pStyle w:val="21"/>
        <w:keepLines w:val="0"/>
      </w:pPr>
      <w:r>
        <w:rPr>
          <w:rFonts w:cs="Times New Roman"/>
        </w:rPr>
        <w:t xml:space="preserve">2.4 </w:t>
      </w:r>
      <w:r>
        <w:rPr>
          <w:rFonts w:cs="Times New Roman"/>
        </w:rPr>
        <w:t>回归测试选择与策略反馈</w:t>
      </w:r>
    </w:p>
    <w:p w14:paraId="4036FB28" w14:textId="77777777" w:rsidR="00083274" w:rsidRDefault="00CD44F7">
      <w:r>
        <w:rPr>
          <w:rFonts w:cs="Times New Roman"/>
        </w:rPr>
        <w:t>DETOUR</w:t>
      </w:r>
      <w:r>
        <w:rPr>
          <w:rFonts w:cs="Times New Roman"/>
        </w:rPr>
        <w:t>依据已执行道路的成功或失效结果及道路几何关系，选择或排序待执行道路，用于自动驾驶回归测试。该类方法说明相近失败场景能够用于安排后续测试。</w:t>
      </w:r>
      <w:r>
        <w:rPr>
          <w:rFonts w:cs="Times New Roman"/>
        </w:rPr>
        <w:t>[6]</w:t>
      </w:r>
    </w:p>
    <w:p w14:paraId="184E0520" w14:textId="77777777" w:rsidR="00083274" w:rsidRDefault="00CD44F7">
      <w:r>
        <w:rPr>
          <w:rFonts w:cs="Times New Roman"/>
        </w:rPr>
        <w:t>Prioritized Level Replay</w:t>
      </w:r>
      <w:r>
        <w:rPr>
          <w:rFonts w:cs="Times New Roman"/>
        </w:rPr>
        <w:t>根据当前策略在已见环境中的学习价值和环境陈旧程度重新分配训练机会；</w:t>
      </w:r>
      <w:r>
        <w:rPr>
          <w:rFonts w:cs="Times New Roman"/>
        </w:rPr>
        <w:t>SERA</w:t>
      </w:r>
      <w:r>
        <w:rPr>
          <w:rFonts w:cs="Times New Roman"/>
        </w:rPr>
        <w:t>依据当前驾驶策略的失败日志分析和推荐场景，并通过定向微调循环改进策略。这些方案已利用策略表现更新后续训练或场景安排。</w:t>
      </w:r>
      <w:r>
        <w:rPr>
          <w:rFonts w:cs="Times New Roman"/>
        </w:rPr>
        <w:t>[7][8]</w:t>
      </w:r>
    </w:p>
    <w:p w14:paraId="04275D11" w14:textId="77777777" w:rsidR="00083274" w:rsidRDefault="00CD44F7">
      <w:r>
        <w:rPr>
          <w:rFonts w:cs="Times New Roman"/>
        </w:rPr>
        <w:t>通用软件测试中的动态优先级方法使用不同测试共同成功或共同失败的条件概率，依据已执行测试的结果调整待执行顺序。由此可见，结果反馈及条件概率排序已有应用，其反馈单位和数据关系需要与局部交通实例的跨版本比较相区分。</w:t>
      </w:r>
      <w:r>
        <w:rPr>
          <w:rFonts w:cs="Times New Roman"/>
        </w:rPr>
        <w:t>[9]</w:t>
      </w:r>
    </w:p>
    <w:p w14:paraId="752A10BE" w14:textId="77777777" w:rsidR="00083274" w:rsidRDefault="00CD44F7">
      <w:pPr>
        <w:pStyle w:val="21"/>
        <w:keepLines w:val="0"/>
      </w:pPr>
      <w:r>
        <w:rPr>
          <w:rFonts w:cs="Times New Roman"/>
        </w:rPr>
        <w:t xml:space="preserve">2.5 </w:t>
      </w:r>
      <w:r>
        <w:rPr>
          <w:rFonts w:cs="Times New Roman"/>
        </w:rPr>
        <w:t>本方法所针对的处理关系</w:t>
      </w:r>
    </w:p>
    <w:p w14:paraId="69D1325F" w14:textId="77777777" w:rsidR="00083274" w:rsidRDefault="00CD44F7">
      <w:r>
        <w:rPr>
          <w:rFonts w:cs="Times New Roman"/>
        </w:rPr>
        <w:t>上述技术分别提供边界样本、版本差分、相近场景选择及反馈分配手段。本方法针对持续版本测试中的具体衔接：将同一受控局部输入变化产生的失效和成功实例共</w:t>
      </w:r>
      <w:r>
        <w:rPr>
          <w:rFonts w:cs="Times New Roman"/>
        </w:rPr>
        <w:lastRenderedPageBreak/>
        <w:t>同保存；在当前基准版本重新确认两者标签；固定比较集合和区域归属；使持续失效与回归失效分别形成区域反馈，直接控制下一轮交互式仿真的执行资源。</w:t>
      </w:r>
    </w:p>
    <w:p w14:paraId="19864F57" w14:textId="77777777" w:rsidR="00083274" w:rsidRDefault="00CD44F7">
      <w:r>
        <w:rPr>
          <w:rFonts w:cs="Times New Roman"/>
        </w:rPr>
        <w:t>本方法不限定初始事件的发现方式、交通生成模型或区域内搜索算法。已有外部测试库、记录回放式测试平台和支持结构化环境输入的交互仿真器均可提供实例；新版驾驶策略既可由外部研发流程提供，也可由附加训练模块产生。</w:t>
      </w:r>
    </w:p>
    <w:p w14:paraId="509E7480" w14:textId="77777777" w:rsidR="00083274" w:rsidRDefault="00CD44F7">
      <w:r>
        <w:rPr>
          <w:rFonts w:cs="Times New Roman"/>
        </w:rPr>
        <w:t>申请人前期《一种面向安全关键事件的自动驾驶长尾测试方法》以风险尾部标定、条件场景生成和稀有风险抽样形成安全关键条件概率、风险强度及风险重现里程。本方法将已有局部邻域作为版本比较的输入，以当前失效转移决定后续区域执行资源，处理对象、关键步骤与输出均有所区别。前期方案作为申请人的关联技术材料说明，公开文献列于下节。</w:t>
      </w:r>
    </w:p>
    <w:p w14:paraId="69E83FAB" w14:textId="77777777" w:rsidR="00083274" w:rsidRDefault="00CD44F7">
      <w:pPr>
        <w:pStyle w:val="21"/>
        <w:keepLines w:val="0"/>
      </w:pPr>
      <w:r>
        <w:rPr>
          <w:rFonts w:cs="Times New Roman"/>
        </w:rPr>
        <w:t xml:space="preserve">2.6 </w:t>
      </w:r>
      <w:r>
        <w:rPr>
          <w:rFonts w:cs="Times New Roman"/>
        </w:rPr>
        <w:t>主要公开文献</w:t>
      </w:r>
    </w:p>
    <w:p w14:paraId="0DDF75EA" w14:textId="77777777" w:rsidR="00083274" w:rsidRDefault="00CD44F7">
      <w:pPr>
        <w:keepLines/>
        <w:spacing w:after="100" w:line="380" w:lineRule="exact"/>
        <w:ind w:firstLine="0"/>
        <w:jc w:val="left"/>
      </w:pPr>
      <w:r>
        <w:rPr>
          <w:rFonts w:cs="Times New Roman"/>
        </w:rPr>
        <w:t>[1] Muehlenstaedt T, Nagy R, Poettner J. Uncertainty Based Scenario Simulation Prioritization and Selection. US20230222267A1</w:t>
      </w:r>
      <w:r>
        <w:rPr>
          <w:rFonts w:cs="Times New Roman"/>
        </w:rPr>
        <w:t>，公开日</w:t>
      </w:r>
      <w:r>
        <w:rPr>
          <w:rFonts w:cs="Times New Roman"/>
        </w:rPr>
        <w:t>2023-07-13</w:t>
      </w:r>
      <w:r>
        <w:rPr>
          <w:rFonts w:cs="Times New Roman"/>
        </w:rPr>
        <w:t>。说明书</w:t>
      </w:r>
      <w:r>
        <w:rPr>
          <w:rFonts w:cs="Times New Roman"/>
        </w:rPr>
        <w:t>[0127]</w:t>
      </w:r>
      <w:r>
        <w:rPr>
          <w:rFonts w:cs="Times New Roman"/>
        </w:rPr>
        <w:t>、</w:t>
      </w:r>
      <w:r>
        <w:rPr>
          <w:rFonts w:cs="Times New Roman"/>
        </w:rPr>
        <w:t>[0130]</w:t>
      </w:r>
      <w:r>
        <w:rPr>
          <w:rFonts w:cs="Times New Roman"/>
        </w:rPr>
        <w:t>、</w:t>
      </w:r>
      <w:r>
        <w:rPr>
          <w:rFonts w:cs="Times New Roman"/>
        </w:rPr>
        <w:t>[0134]</w:t>
      </w:r>
      <w:r>
        <w:rPr>
          <w:rFonts w:cs="Times New Roman"/>
        </w:rPr>
        <w:t>、</w:t>
      </w:r>
      <w:r>
        <w:rPr>
          <w:rFonts w:cs="Times New Roman"/>
        </w:rPr>
        <w:t>[0138]</w:t>
      </w:r>
      <w:r>
        <w:rPr>
          <w:rFonts w:cs="Times New Roman"/>
        </w:rPr>
        <w:t>。</w:t>
      </w:r>
      <w:r>
        <w:rPr>
          <w:rFonts w:cs="Times New Roman"/>
        </w:rPr>
        <w:t>https://patents.google.com/patent/US20230222267A1/en</w:t>
      </w:r>
    </w:p>
    <w:p w14:paraId="50BB4FF9" w14:textId="77777777" w:rsidR="00083274" w:rsidRDefault="00CD44F7">
      <w:pPr>
        <w:keepLines/>
        <w:spacing w:after="100" w:line="380" w:lineRule="exact"/>
        <w:ind w:firstLine="0"/>
        <w:jc w:val="left"/>
      </w:pPr>
      <w:r>
        <w:rPr>
          <w:rFonts w:cs="Times New Roman"/>
        </w:rPr>
        <w:t>[2] Muehlenstaedt T, Nagy R, Poettner J. Automated Generation and Refinement of Variation Parameters for Simulation Scenarios. US20230222268A1</w:t>
      </w:r>
      <w:r>
        <w:rPr>
          <w:rFonts w:cs="Times New Roman"/>
        </w:rPr>
        <w:t>，公开日</w:t>
      </w:r>
      <w:r>
        <w:rPr>
          <w:rFonts w:cs="Times New Roman"/>
        </w:rPr>
        <w:t>2023-07-13</w:t>
      </w:r>
      <w:r>
        <w:rPr>
          <w:rFonts w:cs="Times New Roman"/>
        </w:rPr>
        <w:t>。图</w:t>
      </w:r>
      <w:r>
        <w:rPr>
          <w:rFonts w:cs="Times New Roman"/>
        </w:rPr>
        <w:t>7</w:t>
      </w:r>
      <w:r>
        <w:rPr>
          <w:rFonts w:cs="Times New Roman"/>
        </w:rPr>
        <w:t>、图</w:t>
      </w:r>
      <w:r>
        <w:rPr>
          <w:rFonts w:cs="Times New Roman"/>
        </w:rPr>
        <w:t>10</w:t>
      </w:r>
      <w:r>
        <w:rPr>
          <w:rFonts w:cs="Times New Roman"/>
        </w:rPr>
        <w:t>及相关说明。</w:t>
      </w:r>
      <w:r>
        <w:rPr>
          <w:rFonts w:cs="Times New Roman"/>
        </w:rPr>
        <w:t>https://patents.google.com/patent/US20230222268A1/en</w:t>
      </w:r>
    </w:p>
    <w:p w14:paraId="3CF7E59D" w14:textId="77777777" w:rsidR="00083274" w:rsidRDefault="00CD44F7">
      <w:pPr>
        <w:keepLines/>
        <w:spacing w:after="100" w:line="380" w:lineRule="exact"/>
        <w:ind w:firstLine="0"/>
        <w:jc w:val="left"/>
      </w:pPr>
      <w:r>
        <w:rPr>
          <w:rFonts w:cs="Times New Roman"/>
        </w:rPr>
        <w:t>[3] Biagiola M, Tonella P. Boundary State Generation for Testing and Improvement of Autonomous Driving Systems. IEEE TSE, 50(8):2040–2053, 2024. DOI:10.1109/TSE.2024.3420816</w:t>
      </w:r>
      <w:r>
        <w:rPr>
          <w:rFonts w:cs="Times New Roman"/>
        </w:rPr>
        <w:t>。预印本公开日</w:t>
      </w:r>
      <w:r>
        <w:rPr>
          <w:rFonts w:cs="Times New Roman"/>
        </w:rPr>
        <w:t>2023-07-20</w:t>
      </w:r>
      <w:r>
        <w:rPr>
          <w:rFonts w:cs="Times New Roman"/>
        </w:rPr>
        <w:t>，</w:t>
      </w:r>
      <w:r>
        <w:rPr>
          <w:rFonts w:cs="Times New Roman"/>
        </w:rPr>
        <w:t>v2</w:t>
      </w:r>
      <w:r>
        <w:rPr>
          <w:rFonts w:cs="Times New Roman"/>
        </w:rPr>
        <w:t>公开日</w:t>
      </w:r>
      <w:r>
        <w:rPr>
          <w:rFonts w:cs="Times New Roman"/>
        </w:rPr>
        <w:t>2024-07-12</w:t>
      </w:r>
      <w:r>
        <w:rPr>
          <w:rFonts w:cs="Times New Roman"/>
        </w:rPr>
        <w:t>，第</w:t>
      </w:r>
      <w:r>
        <w:rPr>
          <w:rFonts w:cs="Times New Roman"/>
        </w:rPr>
        <w:t>II</w:t>
      </w:r>
      <w:r>
        <w:rPr>
          <w:rFonts w:cs="Times New Roman"/>
        </w:rPr>
        <w:t>节、算法</w:t>
      </w:r>
      <w:r>
        <w:rPr>
          <w:rFonts w:cs="Times New Roman"/>
        </w:rPr>
        <w:t>1</w:t>
      </w:r>
      <w:r>
        <w:rPr>
          <w:rFonts w:cs="Times New Roman"/>
        </w:rPr>
        <w:t>。</w:t>
      </w:r>
      <w:r>
        <w:rPr>
          <w:rFonts w:cs="Times New Roman"/>
        </w:rPr>
        <w:t>https://arxiv.org/html/2307.10590v2</w:t>
      </w:r>
    </w:p>
    <w:p w14:paraId="0D308FEE" w14:textId="77777777" w:rsidR="00083274" w:rsidRDefault="00CD44F7">
      <w:pPr>
        <w:keepLines/>
        <w:spacing w:after="100" w:line="380" w:lineRule="exact"/>
        <w:ind w:firstLine="0"/>
        <w:jc w:val="left"/>
      </w:pPr>
      <w:r>
        <w:rPr>
          <w:rFonts w:cs="Times New Roman"/>
        </w:rPr>
        <w:t>[4] Lee R, et al. Differential Adaptive Stress Testing of Airborne Collision Avoidance Systems. AIAA 2018-1923</w:t>
      </w:r>
      <w:r>
        <w:rPr>
          <w:rFonts w:cs="Times New Roman"/>
        </w:rPr>
        <w:t>，公开日</w:t>
      </w:r>
      <w:r>
        <w:rPr>
          <w:rFonts w:cs="Times New Roman"/>
        </w:rPr>
        <w:t>2018-01-08</w:t>
      </w:r>
      <w:r>
        <w:rPr>
          <w:rFonts w:cs="Times New Roman"/>
        </w:rPr>
        <w:t>。</w:t>
      </w:r>
      <w:r>
        <w:rPr>
          <w:rFonts w:cs="Times New Roman"/>
        </w:rPr>
        <w:t>DOI:10.2514/6.2018-1923</w:t>
      </w:r>
      <w:r>
        <w:rPr>
          <w:rFonts w:cs="Times New Roman"/>
        </w:rPr>
        <w:t>，第</w:t>
      </w:r>
      <w:r>
        <w:rPr>
          <w:rFonts w:cs="Times New Roman"/>
        </w:rPr>
        <w:t>IV</w:t>
      </w:r>
      <w:r>
        <w:rPr>
          <w:rFonts w:cs="Times New Roman"/>
        </w:rPr>
        <w:t>节、图</w:t>
      </w:r>
      <w:r>
        <w:rPr>
          <w:rFonts w:cs="Times New Roman"/>
        </w:rPr>
        <w:t>3</w:t>
      </w:r>
      <w:r>
        <w:rPr>
          <w:rFonts w:cs="Times New Roman"/>
        </w:rPr>
        <w:t>。</w:t>
      </w:r>
      <w:r>
        <w:rPr>
          <w:rFonts w:cs="Times New Roman"/>
        </w:rPr>
        <w:t>https://ntrs.nasa.gov/citations/20190002185</w:t>
      </w:r>
    </w:p>
    <w:p w14:paraId="1B0E5369" w14:textId="77777777" w:rsidR="00083274" w:rsidRDefault="00CD44F7">
      <w:pPr>
        <w:keepLines/>
        <w:spacing w:after="100" w:line="380" w:lineRule="exact"/>
        <w:ind w:firstLine="0"/>
        <w:jc w:val="left"/>
      </w:pPr>
      <w:r>
        <w:rPr>
          <w:rFonts w:cs="Times New Roman"/>
        </w:rPr>
        <w:t>[5] Yousefizadeh H, Gu S, Briand L C, Nasr A. Constrained Co-evolutionary Differential Metamorphic Testing for Autonomous Systems with an Interpretability Approach. ACM TOSEM, 2026. DOI:10.1145/3821438</w:t>
      </w:r>
      <w:r>
        <w:rPr>
          <w:rFonts w:cs="Times New Roman"/>
        </w:rPr>
        <w:t>。预印本</w:t>
      </w:r>
      <w:r>
        <w:rPr>
          <w:rFonts w:cs="Times New Roman"/>
        </w:rPr>
        <w:t>v2</w:t>
      </w:r>
      <w:r>
        <w:rPr>
          <w:rFonts w:cs="Times New Roman"/>
        </w:rPr>
        <w:t>公开日</w:t>
      </w:r>
      <w:r>
        <w:rPr>
          <w:rFonts w:cs="Times New Roman"/>
        </w:rPr>
        <w:t>2026-05-14</w:t>
      </w:r>
      <w:r>
        <w:rPr>
          <w:rFonts w:cs="Times New Roman"/>
        </w:rPr>
        <w:t>，第</w:t>
      </w:r>
      <w:r>
        <w:rPr>
          <w:rFonts w:cs="Times New Roman"/>
        </w:rPr>
        <w:t>5.1—5.3</w:t>
      </w:r>
      <w:r>
        <w:rPr>
          <w:rFonts w:cs="Times New Roman"/>
        </w:rPr>
        <w:t>节。</w:t>
      </w:r>
      <w:r>
        <w:rPr>
          <w:rFonts w:cs="Times New Roman"/>
        </w:rPr>
        <w:t>https://arxiv.org/html/2509.16478v2</w:t>
      </w:r>
    </w:p>
    <w:p w14:paraId="0FA2B498" w14:textId="77777777" w:rsidR="00083274" w:rsidRDefault="00CD44F7">
      <w:pPr>
        <w:keepLines/>
        <w:spacing w:after="100" w:line="380" w:lineRule="exact"/>
        <w:ind w:firstLine="0"/>
        <w:jc w:val="left"/>
      </w:pPr>
      <w:r>
        <w:rPr>
          <w:rFonts w:cs="Times New Roman"/>
        </w:rPr>
        <w:t>[6] Arcaini P, Cetinkaya A. DETOUR: A tool for regression testing of autonomous driving systems. Science of Computer Programming, 253:103490</w:t>
      </w:r>
      <w:r>
        <w:rPr>
          <w:rFonts w:cs="Times New Roman"/>
        </w:rPr>
        <w:t>，</w:t>
      </w:r>
      <w:r>
        <w:rPr>
          <w:rFonts w:cs="Times New Roman"/>
        </w:rPr>
        <w:t>2026-08</w:t>
      </w:r>
      <w:r>
        <w:rPr>
          <w:rFonts w:cs="Times New Roman"/>
        </w:rPr>
        <w:t>。</w:t>
      </w:r>
      <w:r>
        <w:rPr>
          <w:rFonts w:cs="Times New Roman"/>
        </w:rPr>
        <w:t>DOI:10.1016/j.scico.2026.103490</w:t>
      </w:r>
      <w:r>
        <w:rPr>
          <w:rFonts w:cs="Times New Roman"/>
        </w:rPr>
        <w:t>。作者公开实现及接口说明：</w:t>
      </w:r>
      <w:r>
        <w:rPr>
          <w:rFonts w:cs="Times New Roman"/>
        </w:rPr>
        <w:t>https://github.com/cetinkaya/detour</w:t>
      </w:r>
    </w:p>
    <w:p w14:paraId="6FF6EFB3" w14:textId="77777777" w:rsidR="00083274" w:rsidRDefault="00CD44F7">
      <w:pPr>
        <w:keepLines/>
        <w:spacing w:after="100" w:line="380" w:lineRule="exact"/>
        <w:ind w:firstLine="0"/>
        <w:jc w:val="left"/>
      </w:pPr>
      <w:r>
        <w:rPr>
          <w:rFonts w:cs="Times New Roman"/>
        </w:rPr>
        <w:lastRenderedPageBreak/>
        <w:t>[7] Jiang M, Grefenstette E, Rocktäschel T. Prioritized Level Replay. ICML, 2021. PMLR, 139:4940–4950</w:t>
      </w:r>
      <w:r>
        <w:rPr>
          <w:rFonts w:cs="Times New Roman"/>
        </w:rPr>
        <w:t>，会议日期</w:t>
      </w:r>
      <w:r>
        <w:rPr>
          <w:rFonts w:cs="Times New Roman"/>
        </w:rPr>
        <w:t>2021-07-18</w:t>
      </w:r>
      <w:r>
        <w:rPr>
          <w:rFonts w:cs="Times New Roman"/>
        </w:rPr>
        <w:t>至</w:t>
      </w:r>
      <w:r>
        <w:rPr>
          <w:rFonts w:cs="Times New Roman"/>
        </w:rPr>
        <w:t>24</w:t>
      </w:r>
      <w:r>
        <w:rPr>
          <w:rFonts w:cs="Times New Roman"/>
        </w:rPr>
        <w:t>，第</w:t>
      </w:r>
      <w:r>
        <w:rPr>
          <w:rFonts w:cs="Times New Roman"/>
        </w:rPr>
        <w:t>3.1—3.2</w:t>
      </w:r>
      <w:r>
        <w:rPr>
          <w:rFonts w:cs="Times New Roman"/>
        </w:rPr>
        <w:t>节。</w:t>
      </w:r>
      <w:r>
        <w:rPr>
          <w:rFonts w:cs="Times New Roman"/>
        </w:rPr>
        <w:t>https://proceedings.mlr.press/v139/jiang21b.html</w:t>
      </w:r>
    </w:p>
    <w:p w14:paraId="6F56A6FA" w14:textId="77777777" w:rsidR="00083274" w:rsidRDefault="00CD44F7">
      <w:pPr>
        <w:keepLines/>
        <w:spacing w:after="100" w:line="380" w:lineRule="exact"/>
        <w:ind w:firstLine="0"/>
        <w:jc w:val="left"/>
      </w:pPr>
      <w:r>
        <w:rPr>
          <w:rFonts w:cs="Times New Roman"/>
        </w:rPr>
        <w:t>[8] Xia X, et al. From Failures to Fixes: LLM-Driven Scenario Repair for Self-Evolving Autonomous Driving. ACM MM, 2025. DOI:10.1145/3746027.3755470</w:t>
      </w:r>
      <w:r>
        <w:rPr>
          <w:rFonts w:cs="Times New Roman"/>
        </w:rPr>
        <w:t>。预印本公开日</w:t>
      </w:r>
      <w:r>
        <w:rPr>
          <w:rFonts w:cs="Times New Roman"/>
        </w:rPr>
        <w:t>2025-05-28</w:t>
      </w:r>
      <w:r>
        <w:rPr>
          <w:rFonts w:cs="Times New Roman"/>
        </w:rPr>
        <w:t>，第</w:t>
      </w:r>
      <w:r>
        <w:rPr>
          <w:rFonts w:cs="Times New Roman"/>
        </w:rPr>
        <w:t>3.4—3.5</w:t>
      </w:r>
      <w:r>
        <w:rPr>
          <w:rFonts w:cs="Times New Roman"/>
        </w:rPr>
        <w:t>节、算法</w:t>
      </w:r>
      <w:r>
        <w:rPr>
          <w:rFonts w:cs="Times New Roman"/>
        </w:rPr>
        <w:t>1</w:t>
      </w:r>
      <w:r>
        <w:rPr>
          <w:rFonts w:cs="Times New Roman"/>
        </w:rPr>
        <w:t>。</w:t>
      </w:r>
      <w:r>
        <w:rPr>
          <w:rFonts w:cs="Times New Roman"/>
        </w:rPr>
        <w:t>https://arxiv.org/html/2505.22067v1</w:t>
      </w:r>
    </w:p>
    <w:p w14:paraId="6A50B5E3" w14:textId="77777777" w:rsidR="00083274" w:rsidRDefault="00CD44F7">
      <w:pPr>
        <w:keepLines/>
        <w:spacing w:after="100" w:line="380" w:lineRule="exact"/>
        <w:ind w:firstLine="0"/>
        <w:jc w:val="left"/>
      </w:pPr>
      <w:r>
        <w:rPr>
          <w:rFonts w:cs="Times New Roman"/>
        </w:rPr>
        <w:t>[9] Torbunova A, Strandberg P E, Porres I. Dynamic Test Case Prioritization in Industrial Test Result Datasets. AST, 2024:154–158</w:t>
      </w:r>
      <w:r>
        <w:rPr>
          <w:rFonts w:cs="Times New Roman"/>
        </w:rPr>
        <w:t>，公开日</w:t>
      </w:r>
      <w:r>
        <w:rPr>
          <w:rFonts w:cs="Times New Roman"/>
        </w:rPr>
        <w:t>2024-04-15</w:t>
      </w:r>
      <w:r>
        <w:rPr>
          <w:rFonts w:cs="Times New Roman"/>
        </w:rPr>
        <w:t>。</w:t>
      </w:r>
      <w:r>
        <w:rPr>
          <w:rFonts w:cs="Times New Roman"/>
        </w:rPr>
        <w:t>DOI:10.1145/3644032.3644452</w:t>
      </w:r>
      <w:r>
        <w:rPr>
          <w:rFonts w:cs="Times New Roman"/>
        </w:rPr>
        <w:t>，第</w:t>
      </w:r>
      <w:r>
        <w:rPr>
          <w:rFonts w:cs="Times New Roman"/>
        </w:rPr>
        <w:t>4</w:t>
      </w:r>
      <w:r>
        <w:rPr>
          <w:rFonts w:cs="Times New Roman"/>
        </w:rPr>
        <w:t>节、算法</w:t>
      </w:r>
      <w:r>
        <w:rPr>
          <w:rFonts w:cs="Times New Roman"/>
        </w:rPr>
        <w:t>1</w:t>
      </w:r>
      <w:r>
        <w:rPr>
          <w:rFonts w:cs="Times New Roman"/>
        </w:rPr>
        <w:t>。</w:t>
      </w:r>
      <w:r>
        <w:rPr>
          <w:rFonts w:cs="Times New Roman"/>
        </w:rPr>
        <w:t>https://arxiv.org/html/2402.02925v1</w:t>
      </w:r>
    </w:p>
    <w:p w14:paraId="355EA30D" w14:textId="77777777" w:rsidR="00083274" w:rsidRDefault="00CD44F7">
      <w:pPr>
        <w:pStyle w:val="1"/>
        <w:keepLines w:val="0"/>
      </w:pPr>
      <w:r>
        <w:rPr>
          <w:rFonts w:cs="Times New Roman"/>
        </w:rPr>
        <w:t xml:space="preserve">3 </w:t>
      </w:r>
      <w:r>
        <w:rPr>
          <w:rFonts w:cs="Times New Roman"/>
        </w:rPr>
        <w:t>现有方案的不足与本发明目的</w:t>
      </w:r>
    </w:p>
    <w:p w14:paraId="0AA1FE8C" w14:textId="77777777" w:rsidR="00083274" w:rsidRDefault="00CD44F7">
      <w:pPr>
        <w:pStyle w:val="21"/>
        <w:keepLines w:val="0"/>
      </w:pPr>
      <w:r>
        <w:rPr>
          <w:rFonts w:cs="Times New Roman"/>
        </w:rPr>
        <w:t xml:space="preserve">3.1 </w:t>
      </w:r>
      <w:r>
        <w:rPr>
          <w:rFonts w:cs="Times New Roman"/>
        </w:rPr>
        <w:t>局部成功条件需要延续到后续版本测试</w:t>
      </w:r>
    </w:p>
    <w:p w14:paraId="03AEE5A7" w14:textId="77777777" w:rsidR="00083274" w:rsidRDefault="00CD44F7">
      <w:r>
        <w:rPr>
          <w:rFonts w:cs="Times New Roman"/>
        </w:rPr>
        <w:t>只保存失效实例时，后续测试主要检查原有问题是否仍然存在；独立保存成功场景时，又不易恢复其与某一失效的具体输入联系。本发明将选中变量、固定变量、两端完整输入和发现版本保存为邻域链接，使原失效附近已实际通过的条件成为后续回归检查的直接输入。</w:t>
      </w:r>
    </w:p>
    <w:p w14:paraId="67ACF243" w14:textId="77777777" w:rsidR="00083274" w:rsidRDefault="00CD44F7">
      <w:pPr>
        <w:pStyle w:val="21"/>
        <w:keepLines w:val="0"/>
      </w:pPr>
      <w:r>
        <w:rPr>
          <w:rFonts w:cs="Times New Roman"/>
        </w:rPr>
        <w:t xml:space="preserve">3.2 </w:t>
      </w:r>
      <w:r>
        <w:rPr>
          <w:rFonts w:cs="Times New Roman"/>
        </w:rPr>
        <w:t>历史标签及区域变化会混入版本比较</w:t>
      </w:r>
    </w:p>
    <w:p w14:paraId="70D6CFD3" w14:textId="77777777" w:rsidR="00083274" w:rsidRDefault="00CD44F7">
      <w:r>
        <w:rPr>
          <w:rFonts w:cs="Times New Roman"/>
        </w:rPr>
        <w:t>经过多轮策略更新，最初发现时的失效实例可能已成功，成功邻点也可能失效。若继续按历史来源划分统计行，就会把当前回归与持续失效混淆。若根据新版本轨迹重新划分成员后再比较，区域变化还会影响结果计数。</w:t>
      </w:r>
    </w:p>
    <w:p w14:paraId="7BEFC989" w14:textId="77777777" w:rsidR="00083274" w:rsidRDefault="00CD44F7">
      <w:r>
        <w:rPr>
          <w:rFonts w:cs="Times New Roman"/>
        </w:rPr>
        <w:t>本发明先按本轮基准策略重新确认各实例结果，再固定用于比较的实例集合和区域归属；历史来源作为追溯信息保存。新版本结果仅用于确定配对转移类别，不用于反向挑选本轮成员或改变其归属。</w:t>
      </w:r>
    </w:p>
    <w:p w14:paraId="39137E96" w14:textId="77777777" w:rsidR="00083274" w:rsidRDefault="00CD44F7">
      <w:pPr>
        <w:pStyle w:val="21"/>
        <w:keepLines w:val="0"/>
      </w:pPr>
      <w:r>
        <w:rPr>
          <w:rFonts w:cs="Times New Roman"/>
        </w:rPr>
        <w:t xml:space="preserve">3.3 </w:t>
      </w:r>
      <w:r>
        <w:rPr>
          <w:rFonts w:cs="Times New Roman"/>
        </w:rPr>
        <w:t>总体改善及类别比例可能掩盖测试需求</w:t>
      </w:r>
    </w:p>
    <w:p w14:paraId="3BEC1709" w14:textId="77777777" w:rsidR="00083274" w:rsidRDefault="00CD44F7">
      <w:r>
        <w:rPr>
          <w:rFonts w:cs="Times New Roman"/>
        </w:rPr>
        <w:t>失效解除与新增回归可能在总失效数量上相互抵消，两个版本共同失效的实例也可能因版本差异较小而缺少优先级。以全部实例共同作分母时，各区域保留的成功与失效数量比还会隐式改变两类反馈的相对权重。</w:t>
      </w:r>
    </w:p>
    <w:p w14:paraId="6B3C863D" w14:textId="77777777" w:rsidR="00083274" w:rsidRDefault="00CD44F7">
      <w:r>
        <w:rPr>
          <w:rFonts w:cs="Times New Roman"/>
        </w:rPr>
        <w:t>本发明分别保留持续失效和回归失效的非负反馈。优选方式按本轮基准失效组和基准成功组分别归一化，再用预定权重组合。由此，修复部分实例不会直接抵扣另一部分实例的回归；增加某一类实例也不会改变另一类反馈的分母。</w:t>
      </w:r>
    </w:p>
    <w:p w14:paraId="0BF6C76D" w14:textId="77777777" w:rsidR="00083274" w:rsidRDefault="00CD44F7">
      <w:pPr>
        <w:pStyle w:val="21"/>
        <w:keepLines w:val="0"/>
      </w:pPr>
      <w:r>
        <w:rPr>
          <w:rFonts w:cs="Times New Roman"/>
        </w:rPr>
        <w:lastRenderedPageBreak/>
        <w:t xml:space="preserve">3.4 </w:t>
      </w:r>
      <w:r>
        <w:rPr>
          <w:rFonts w:cs="Times New Roman"/>
        </w:rPr>
        <w:t>外生输入对应关系需要贯穿闭环执行</w:t>
      </w:r>
    </w:p>
    <w:p w14:paraId="154D5E6B" w14:textId="77777777" w:rsidR="00083274" w:rsidRDefault="00CD44F7">
      <w:r>
        <w:rPr>
          <w:rFonts w:cs="Times New Roman"/>
        </w:rPr>
        <w:t>交互仿真中的随机数调用顺序可能随驾驶策略而改变，相同全局种子不必然对应相同车辆或时刻的扰动。本发明保存完整环境输入或按稳定逻辑索引恢复输入，并固定环境配置和判定规则。背景车辆仍根据各版本产生的实际状态响应，使输入对应关系与真实交互变化同时保留。</w:t>
      </w:r>
    </w:p>
    <w:p w14:paraId="542BDCBA" w14:textId="77777777" w:rsidR="00083274" w:rsidRDefault="00CD44F7">
      <w:r>
        <w:rPr>
          <w:rFonts w:cs="Times New Roman"/>
        </w:rPr>
        <w:t>本发明的目的在于建立从受控局部邻域、当前基准确认、版本配对到后续区域执行的连续处理关系，使有限仿真资源能够同时用于尚未解决的失效、局部回归和未充分观察的条件。</w:t>
      </w:r>
    </w:p>
    <w:p w14:paraId="31BFABB4" w14:textId="77777777" w:rsidR="00083274" w:rsidRDefault="00CD44F7">
      <w:pPr>
        <w:pStyle w:val="1"/>
        <w:keepLines w:val="0"/>
      </w:pPr>
      <w:r>
        <w:rPr>
          <w:rFonts w:cs="Times New Roman"/>
        </w:rPr>
        <w:t xml:space="preserve">4 </w:t>
      </w:r>
      <w:r>
        <w:rPr>
          <w:rFonts w:cs="Times New Roman"/>
        </w:rPr>
        <w:t>技术方案概述</w:t>
      </w:r>
    </w:p>
    <w:p w14:paraId="212AF3F5" w14:textId="77777777" w:rsidR="00083274" w:rsidRDefault="00CD44F7">
      <w:r>
        <w:rPr>
          <w:rFonts w:cs="Times New Roman"/>
        </w:rPr>
        <w:t>本方法的总体流程如图</w:t>
      </w:r>
      <w:r>
        <w:rPr>
          <w:rFonts w:cs="Times New Roman"/>
        </w:rPr>
        <w:t>1</w:t>
      </w:r>
      <w:r>
        <w:rPr>
          <w:rFonts w:cs="Times New Roman"/>
        </w:rPr>
        <w:t>所示，由计算设备执行以下步骤。</w:t>
      </w:r>
    </w:p>
    <w:p w14:paraId="07DDB022" w14:textId="77777777" w:rsidR="00083274" w:rsidRDefault="00CD44F7">
      <w:r>
        <w:rPr>
          <w:rFonts w:cs="Times New Roman"/>
          <w:b/>
        </w:rPr>
        <w:t>S1</w:t>
      </w:r>
      <w:r>
        <w:rPr>
          <w:rFonts w:cs="Times New Roman"/>
          <w:b/>
        </w:rPr>
        <w:t>，接入并恢复测试实例。</w:t>
      </w:r>
      <w:r>
        <w:rPr>
          <w:rFonts w:cs="Times New Roman"/>
        </w:rPr>
        <w:t>接收外部场景库或已有测试结果，记录固定事件、完整环境输入、仿真配置、失效判据及策略版本，建立统一实例标识。</w:t>
      </w:r>
    </w:p>
    <w:p w14:paraId="5EBACFAF" w14:textId="77777777" w:rsidR="00083274" w:rsidRDefault="00CD44F7">
      <w:r>
        <w:rPr>
          <w:rFonts w:cs="Times New Roman"/>
          <w:b/>
        </w:rPr>
        <w:t>S2</w:t>
      </w:r>
      <w:r>
        <w:rPr>
          <w:rFonts w:cs="Times New Roman"/>
          <w:b/>
        </w:rPr>
        <w:t>，建立局部失效与成功邻点关系。</w:t>
      </w:r>
      <w:r>
        <w:rPr>
          <w:rFonts w:cs="Times New Roman"/>
        </w:rPr>
        <w:t>对实际失效保持非选中输入不变，在允许的局部输入范围内寻找经实际执行确认的成功实例，保存两端完整输入和邻域链接。外部提供的邻域关系经同样的输入一致性及执行确认后接入。</w:t>
      </w:r>
    </w:p>
    <w:p w14:paraId="3FBE436B" w14:textId="77777777" w:rsidR="00083274" w:rsidRDefault="00CD44F7">
      <w:r>
        <w:rPr>
          <w:rFonts w:cs="Times New Roman"/>
          <w:b/>
        </w:rPr>
        <w:t>S3</w:t>
      </w:r>
      <w:r>
        <w:rPr>
          <w:rFonts w:cs="Times New Roman"/>
          <w:b/>
        </w:rPr>
        <w:t>，确认本轮基准结果并固定区域。</w:t>
      </w:r>
      <w:r>
        <w:rPr>
          <w:rFonts w:cs="Times New Roman"/>
        </w:rPr>
        <w:t>在基准策略下确认历史档案的当前结果，去除重复统计项，确定各实例的唯一主区域，保存本轮比较集合。</w:t>
      </w:r>
    </w:p>
    <w:p w14:paraId="012D275B" w14:textId="77777777" w:rsidR="00083274" w:rsidRDefault="00CD44F7">
      <w:r>
        <w:rPr>
          <w:rFonts w:cs="Times New Roman"/>
          <w:b/>
        </w:rPr>
        <w:t>S4</w:t>
      </w:r>
      <w:r>
        <w:rPr>
          <w:rFonts w:cs="Times New Roman"/>
          <w:b/>
        </w:rPr>
        <w:t>，执行版本配对并分类。</w:t>
      </w:r>
      <w:r>
        <w:rPr>
          <w:rFonts w:cs="Times New Roman"/>
        </w:rPr>
        <w:t>对每个实例恢复其相同完整输入和环境配置，执行待比较策略，与基准结果共同形成持续成功、回归失效、失效解除或持续失效记录。</w:t>
      </w:r>
    </w:p>
    <w:p w14:paraId="3C4B8C79" w14:textId="77777777" w:rsidR="00083274" w:rsidRDefault="00CD44F7">
      <w:r>
        <w:rPr>
          <w:rFonts w:cs="Times New Roman"/>
          <w:b/>
        </w:rPr>
        <w:t>S5</w:t>
      </w:r>
      <w:r>
        <w:rPr>
          <w:rFonts w:cs="Times New Roman"/>
          <w:b/>
        </w:rPr>
        <w:t>，形成区域反馈和测试分配。</w:t>
      </w:r>
      <w:r>
        <w:rPr>
          <w:rFonts w:cs="Times New Roman"/>
        </w:rPr>
        <w:t>分别计算持续失效和回归失效反馈，按预定非负权重组成区域调度分数，转换为区域份额，并保留未观测类别补测及新事件探索资源。</w:t>
      </w:r>
    </w:p>
    <w:p w14:paraId="3958E390" w14:textId="77777777" w:rsidR="00083274" w:rsidRDefault="00CD44F7">
      <w:r>
        <w:rPr>
          <w:rFonts w:cs="Times New Roman"/>
          <w:b/>
        </w:rPr>
        <w:t>S6</w:t>
      </w:r>
      <w:r>
        <w:rPr>
          <w:rFonts w:cs="Times New Roman"/>
          <w:b/>
        </w:rPr>
        <w:t>，执行后续测试并更新档案。</w:t>
      </w:r>
      <w:r>
        <w:rPr>
          <w:rFonts w:cs="Times New Roman"/>
        </w:rPr>
        <w:t>在待比较策略下按所得份额恢复区域实例、产生局部候选或接入新实例，实际执行闭环仿真；新增失效与成功邻点进入档案，供下一轮版本比较使用。</w:t>
      </w:r>
    </w:p>
    <w:p w14:paraId="221ED5F1" w14:textId="77777777" w:rsidR="00083274" w:rsidRDefault="00CD44F7">
      <w:r>
        <w:rPr>
          <w:rFonts w:cs="Times New Roman"/>
        </w:rPr>
        <w:t>输出包括局部邻域档案、本轮有效版本配对记录、区域调度分数、预算或采样概率以及后续测试执行记录。策略更新可由外部模块完成，方法无需取得被测策略的梯度、内部参数结构或训练过程。</w:t>
      </w:r>
    </w:p>
    <w:p w14:paraId="14025519" w14:textId="77777777" w:rsidR="00083274" w:rsidRDefault="00CD44F7">
      <w:pPr>
        <w:pStyle w:val="1"/>
        <w:keepLines w:val="0"/>
      </w:pPr>
      <w:r>
        <w:rPr>
          <w:rFonts w:cs="Times New Roman"/>
        </w:rPr>
        <w:lastRenderedPageBreak/>
        <w:t xml:space="preserve">5 </w:t>
      </w:r>
      <w:r>
        <w:rPr>
          <w:rFonts w:cs="Times New Roman"/>
        </w:rPr>
        <w:t>技术方案的具体实施方式</w:t>
      </w:r>
    </w:p>
    <w:p w14:paraId="38874BB1" w14:textId="77777777" w:rsidR="00083274" w:rsidRDefault="00CD44F7">
      <w:pPr>
        <w:pStyle w:val="21"/>
        <w:keepLines w:val="0"/>
      </w:pPr>
      <w:r>
        <w:rPr>
          <w:rFonts w:cs="Times New Roman"/>
        </w:rPr>
        <w:t xml:space="preserve">5.1 </w:t>
      </w:r>
      <w:r>
        <w:rPr>
          <w:rFonts w:cs="Times New Roman"/>
        </w:rPr>
        <w:t>输入接口与失效判定</w:t>
      </w:r>
    </w:p>
    <w:p w14:paraId="396F9433" w14:textId="77777777" w:rsidR="00083274" w:rsidRDefault="00CD44F7">
      <w:r>
        <w:rPr>
          <w:rFonts w:cs="Times New Roman"/>
        </w:rPr>
        <w:t>输入包括测试实例来源、交互式交通仿真环境、基准策略</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rFonts w:cs="Times New Roman"/>
        </w:rPr>
        <w:t>、待比较策略</w:t>
      </w:r>
      <m:oMath>
        <m:sSub>
          <m:sSubPr>
            <m:ctrlPr>
              <w:rPr>
                <w:rFonts w:ascii="Cambria Math" w:hAnsi="Cambria Math"/>
              </w:rPr>
            </m:ctrlPr>
          </m:sSubPr>
          <m:e>
            <m:r>
              <w:rPr>
                <w:rFonts w:ascii="Cambria Math" w:hAnsi="Cambria Math"/>
              </w:rPr>
              <m:t>π</m:t>
            </m:r>
          </m:e>
          <m:sub>
            <m:r>
              <w:rPr>
                <w:rFonts w:ascii="Cambria Math" w:hAnsi="Cambria Math"/>
              </w:rPr>
              <m:t>k</m:t>
            </m:r>
            <m:r>
              <w:rPr>
                <w:rFonts w:ascii="Cambria Math" w:hAnsi="Cambria Math"/>
              </w:rPr>
              <m:t>+1</m:t>
            </m:r>
          </m:sub>
        </m:sSub>
      </m:oMath>
      <w:r>
        <w:rPr>
          <w:rFonts w:cs="Times New Roman"/>
        </w:rPr>
        <w:t>、失效判据及仿真预算。策略可以是学习规划器、规则控制器或其他能够接收观测并输出车辆动作的系统。仿真接口至少支持恢复事件、恢复环境输入、装载策略、执行及返回有效性和结果。</w:t>
      </w:r>
    </w:p>
    <w:p w14:paraId="08954CA3" w14:textId="77777777" w:rsidR="00083274" w:rsidRDefault="00CD44F7">
      <w:pPr>
        <w:keepNext/>
      </w:pPr>
      <w:r>
        <w:rPr>
          <w:rFonts w:cs="Times New Roman"/>
        </w:rPr>
        <w:t>测试实例记为</w:t>
      </w:r>
      <m:oMath>
        <m:r>
          <w:rPr>
            <w:rFonts w:ascii="Cambria Math" w:hAnsi="Cambria Math"/>
          </w:rPr>
          <m:t>x</m:t>
        </m:r>
        <m:r>
          <w:rPr>
            <w:rFonts w:ascii="Cambria Math" w:hAnsi="Cambria Math"/>
          </w:rPr>
          <m:t>=(</m:t>
        </m:r>
        <m:r>
          <w:rPr>
            <w:rFonts w:ascii="Cambria Math" w:hAnsi="Cambria Math"/>
          </w:rPr>
          <m:t>e</m:t>
        </m:r>
        <m:r>
          <w:rPr>
            <w:rFonts w:ascii="Cambria Math" w:hAnsi="Cambria Math"/>
          </w:rPr>
          <m:t>,</m:t>
        </m:r>
        <m:r>
          <w:rPr>
            <w:rFonts w:ascii="Cambria Math" w:hAnsi="Cambria Math"/>
          </w:rPr>
          <m:t>ω</m:t>
        </m:r>
        <m:r>
          <w:rPr>
            <w:rFonts w:ascii="Cambria Math" w:hAnsi="Cambria Math"/>
          </w:rPr>
          <m:t>)</m:t>
        </m:r>
      </m:oMath>
      <w:r>
        <w:rPr>
          <w:rFonts w:cs="Times New Roman"/>
        </w:rPr>
        <w:t>，其中</w:t>
      </w:r>
      <w:r>
        <w:rPr>
          <w:rFonts w:cs="Times New Roman"/>
        </w:rPr>
        <w:t>e</w:t>
      </w:r>
      <w:r>
        <w:rPr>
          <w:rFonts w:cs="Times New Roman"/>
        </w:rPr>
        <w:t>为道路、车道关系、参与车辆身份及尺寸、初始状态和任务条件；</w:t>
      </w:r>
      <w:r>
        <w:rPr>
          <w:rFonts w:cs="Times New Roman"/>
        </w:rPr>
        <w:t>ω</w:t>
      </w:r>
      <w:r>
        <w:rPr>
          <w:rFonts w:cs="Times New Roman"/>
        </w:rPr>
        <w:t>为驾驶员特征、机动参数、参考行为参数和逐时扰动等结构化环境输入。</w:t>
      </w:r>
      <w:r>
        <w:rPr>
          <w:rFonts w:cs="Times New Roman"/>
        </w:rPr>
        <w:t>θ</w:t>
      </w:r>
      <w:r>
        <w:rPr>
          <w:rFonts w:cs="Times New Roman"/>
        </w:rPr>
        <w:t>表示仿真器配置，包括动力学、背景车辆响应规则、时间步长及其他影响执行的参数。执行轨迹和结果表示为：</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06B690FF" w14:textId="77777777">
        <w:trPr>
          <w:cantSplit/>
          <w:jc w:val="center"/>
        </w:trPr>
        <w:tc>
          <w:tcPr>
            <w:tcW w:w="198" w:type="dxa"/>
            <w:tcMar>
              <w:top w:w="0" w:type="dxa"/>
              <w:left w:w="0" w:type="dxa"/>
              <w:bottom w:w="0" w:type="dxa"/>
              <w:right w:w="0" w:type="dxa"/>
            </w:tcMar>
            <w:vAlign w:val="center"/>
          </w:tcPr>
          <w:p w14:paraId="62A9B01A"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22D5B9B4" w14:textId="77777777" w:rsidR="00083274" w:rsidRDefault="00CD44F7">
            <w:pPr>
              <w:keepNext/>
              <w:keepLines/>
              <w:spacing w:before="80" w:after="100" w:line="480" w:lineRule="atLeast"/>
              <w:ind w:firstLine="0"/>
              <w:jc w:val="right"/>
            </w:pPr>
            <m:oMathPara>
              <m:oMathParaPr>
                <m:jc m:val="right"/>
              </m:oMathParaPr>
              <m:oMath>
                <m:r>
                  <w:rPr>
                    <w:rFonts w:ascii="Cambria Math" w:hAnsi="Cambria Math"/>
                  </w:rPr>
                  <m:t>τ</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θ</m:t>
                    </m:r>
                  </m:sub>
                </m:sSub>
                <m:r>
                  <w:rPr>
                    <w:rFonts w:ascii="Cambria Math" w:hAnsi="Cambria Math"/>
                  </w:rPr>
                  <m:t>(</m:t>
                </m:r>
                <m:r>
                  <w:rPr>
                    <w:rFonts w:ascii="Cambria Math" w:hAnsi="Cambria Math"/>
                  </w:rPr>
                  <m:t>e</m:t>
                </m:r>
                <m:r>
                  <w:rPr>
                    <w:rFonts w:ascii="Cambria Math" w:hAnsi="Cambria Math"/>
                  </w:rPr>
                  <m:t>,</m:t>
                </m:r>
                <m:r>
                  <w:rPr>
                    <w:rFonts w:ascii="Cambria Math" w:hAnsi="Cambria Math"/>
                  </w:rPr>
                  <m:t>ω</m:t>
                </m:r>
                <m:r>
                  <w:rPr>
                    <w:rFonts w:ascii="Cambria Math" w:hAnsi="Cambria Math"/>
                  </w:rPr>
                  <m:t>;</m:t>
                </m:r>
                <m:r>
                  <w:rPr>
                    <w:rFonts w:ascii="Cambria Math" w:hAnsi="Cambria Math"/>
                  </w:rPr>
                  <m:t>π</m:t>
                </m:r>
                <m:r>
                  <w:rPr>
                    <w:rFonts w:ascii="Cambria Math" w:hAnsi="Cambria Math"/>
                  </w:rPr>
                  <m:t xml:space="preserve">),    </m:t>
                </m:r>
                <m:r>
                  <w:rPr>
                    <w:rFonts w:ascii="Cambria Math" w:hAnsi="Cambria Math"/>
                  </w:rPr>
                  <m:t>c</m:t>
                </m:r>
                <m:r>
                  <w:rPr>
                    <w:rFonts w:ascii="Cambria Math" w:hAnsi="Cambria Math"/>
                  </w:rPr>
                  <m:t>=</m:t>
                </m:r>
                <m:r>
                  <w:rPr>
                    <w:rFonts w:ascii="Cambria Math" w:hAnsi="Cambria Math"/>
                  </w:rPr>
                  <m:t>C</m:t>
                </m:r>
                <m:r>
                  <w:rPr>
                    <w:rFonts w:ascii="Cambria Math" w:hAnsi="Cambria Math"/>
                  </w:rPr>
                  <m:t>(</m:t>
                </m:r>
                <m:r>
                  <w:rPr>
                    <w:rFonts w:ascii="Cambria Math" w:hAnsi="Cambria Math"/>
                  </w:rPr>
                  <m:t>τ</m:t>
                </m:r>
                <m:r>
                  <w:rPr>
                    <w:rFonts w:ascii="Cambria Math" w:hAnsi="Cambria Math"/>
                  </w:rPr>
                  <m:t>)∈{0,1}</m:t>
                </m:r>
              </m:oMath>
            </m:oMathPara>
          </w:p>
        </w:tc>
        <w:tc>
          <w:tcPr>
            <w:tcW w:w="680" w:type="dxa"/>
            <w:tcMar>
              <w:top w:w="0" w:type="dxa"/>
              <w:left w:w="0" w:type="dxa"/>
              <w:bottom w:w="0" w:type="dxa"/>
              <w:right w:w="0" w:type="dxa"/>
            </w:tcMar>
            <w:vAlign w:val="center"/>
          </w:tcPr>
          <w:p w14:paraId="7C41E336" w14:textId="77777777" w:rsidR="00083274" w:rsidRDefault="00CD44F7">
            <w:pPr>
              <w:keepNext/>
              <w:keepLines/>
              <w:spacing w:before="80" w:after="100" w:line="480" w:lineRule="atLeast"/>
              <w:ind w:firstLine="0"/>
              <w:jc w:val="right"/>
            </w:pPr>
            <w:r>
              <w:rPr>
                <w:rFonts w:cs="Times New Roman"/>
              </w:rPr>
              <w:t>(1)</w:t>
            </w:r>
          </w:p>
        </w:tc>
      </w:tr>
    </w:tbl>
    <w:p w14:paraId="24E53C36" w14:textId="77777777" w:rsidR="00083274" w:rsidRDefault="00CD44F7">
      <w:r>
        <w:rPr>
          <w:rFonts w:cs="Times New Roman"/>
        </w:rPr>
        <w:t>主实施方式以主车实际碰撞为失效，</w:t>
      </w:r>
      <w:r>
        <w:rPr>
          <w:rFonts w:cs="Times New Roman"/>
        </w:rPr>
        <w:t>c</w:t>
      </w:r>
      <w:r>
        <w:rPr>
          <w:rFonts w:cs="Times New Roman"/>
        </w:rPr>
        <w:t>为</w:t>
      </w:r>
      <w:r>
        <w:rPr>
          <w:rFonts w:cs="Times New Roman"/>
        </w:rPr>
        <w:t>1</w:t>
      </w:r>
      <w:r>
        <w:rPr>
          <w:rFonts w:cs="Times New Roman"/>
        </w:rPr>
        <w:t>表示失效，</w:t>
      </w:r>
      <w:r>
        <w:rPr>
          <w:rFonts w:cs="Times New Roman"/>
        </w:rPr>
        <w:t>c</w:t>
      </w:r>
      <w:r>
        <w:rPr>
          <w:rFonts w:cs="Times New Roman"/>
        </w:rPr>
        <w:t>为</w:t>
      </w:r>
      <w:r>
        <w:rPr>
          <w:rFonts w:cs="Times New Roman"/>
        </w:rPr>
        <w:t>0</w:t>
      </w:r>
      <w:r>
        <w:rPr>
          <w:rFonts w:cs="Times New Roman"/>
        </w:rPr>
        <w:t>表示在有效完成本次执行后通过所选判据。初始几何非法、输入缺失和数值发散分别记录为无效执行。道路越界、任务超时等其他条件可在运行前纳入判据；同一轮比较使用相同判据版本及终止规则。</w:t>
      </w:r>
    </w:p>
    <w:p w14:paraId="0943B897" w14:textId="77777777" w:rsidR="00083274" w:rsidRDefault="00CD44F7">
      <w:pPr>
        <w:pStyle w:val="21"/>
        <w:keepLines w:val="0"/>
      </w:pPr>
      <w:r>
        <w:rPr>
          <w:rFonts w:cs="Times New Roman"/>
        </w:rPr>
        <w:t xml:space="preserve">5.2 </w:t>
      </w:r>
      <w:r>
        <w:rPr>
          <w:rFonts w:cs="Times New Roman"/>
        </w:rPr>
        <w:t>完整输入恢复与实例档案</w:t>
      </w:r>
    </w:p>
    <w:p w14:paraId="060D2B96" w14:textId="77777777" w:rsidR="00083274" w:rsidRDefault="00CD44F7">
      <w:r>
        <w:rPr>
          <w:rFonts w:cs="Times New Roman"/>
        </w:rPr>
        <w:t>环境输入按参与车辆身份、仿真时刻及变量类型建立稳定索引，采用预生成数组、可寻址随机流或等价确定性映射恢复。某一交互分支未使用的输入保留在其索引位置，其他分支仍读取各自对应项。保存种子时，同时保存索引映射、生成算法版本和必要初始化状态，使种子能够确定完整输入。</w:t>
      </w:r>
    </w:p>
    <w:p w14:paraId="424DCBD8" w14:textId="77777777" w:rsidR="00083274" w:rsidRDefault="00CD44F7">
      <w:r>
        <w:rPr>
          <w:rFonts w:cs="Times New Roman"/>
        </w:rPr>
        <w:t>基准策略和待比较策略执行同一实例时，固定该实例的事件、环境输入、配置和判定规则；背景车辆根据各次实际交通状态产生响应。策略采用确定性评价模式，或使用另行固定并记录的策略随机流。模型标识、配置校验值和输入校验值用于确认结果缓存是否适用。</w:t>
      </w:r>
    </w:p>
    <w:p w14:paraId="3D91F9B5" w14:textId="77777777" w:rsidR="00083274" w:rsidRDefault="00CD44F7">
      <w:pPr>
        <w:pStyle w:val="af7"/>
      </w:pPr>
      <w:r>
        <w:rPr>
          <w:rFonts w:cs="Times New Roman"/>
        </w:rPr>
        <w:lastRenderedPageBreak/>
        <w:t>表</w:t>
      </w:r>
      <w:r>
        <w:rPr>
          <w:rFonts w:cs="Times New Roman"/>
        </w:rPr>
        <w:t xml:space="preserve">1 </w:t>
      </w:r>
      <w:r>
        <w:rPr>
          <w:rFonts w:cs="Times New Roman"/>
        </w:rPr>
        <w:t>实例、邻域和版本比较的数据关系</w:t>
      </w:r>
    </w:p>
    <w:tbl>
      <w:tblPr>
        <w:tblW w:w="8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7145"/>
      </w:tblGrid>
      <w:tr w:rsidR="00083274" w14:paraId="06E3CEA3" w14:textId="77777777">
        <w:trPr>
          <w:cantSplit/>
          <w:tblHeader/>
          <w:jc w:val="center"/>
        </w:trPr>
        <w:tc>
          <w:tcPr>
            <w:tcW w:w="1757" w:type="dxa"/>
            <w:shd w:val="clear" w:color="auto" w:fill="FFFFFF"/>
            <w:tcMar>
              <w:top w:w="90" w:type="dxa"/>
              <w:left w:w="85" w:type="dxa"/>
              <w:bottom w:w="90" w:type="dxa"/>
              <w:right w:w="85" w:type="dxa"/>
            </w:tcMar>
            <w:vAlign w:val="center"/>
          </w:tcPr>
          <w:p w14:paraId="24255F3C" w14:textId="77777777" w:rsidR="00083274" w:rsidRDefault="00CD44F7">
            <w:pPr>
              <w:keepNext/>
              <w:keepLines/>
              <w:spacing w:after="0" w:line="348" w:lineRule="exact"/>
              <w:ind w:firstLine="0"/>
              <w:jc w:val="center"/>
            </w:pPr>
            <w:r>
              <w:rPr>
                <w:rFonts w:cs="Times New Roman"/>
                <w:b/>
              </w:rPr>
              <w:t>记录对象</w:t>
            </w:r>
          </w:p>
        </w:tc>
        <w:tc>
          <w:tcPr>
            <w:tcW w:w="7143" w:type="dxa"/>
            <w:shd w:val="clear" w:color="auto" w:fill="FFFFFF"/>
            <w:tcMar>
              <w:top w:w="90" w:type="dxa"/>
              <w:left w:w="85" w:type="dxa"/>
              <w:bottom w:w="90" w:type="dxa"/>
              <w:right w:w="85" w:type="dxa"/>
            </w:tcMar>
            <w:vAlign w:val="center"/>
          </w:tcPr>
          <w:p w14:paraId="48C34967" w14:textId="77777777" w:rsidR="00083274" w:rsidRDefault="00CD44F7">
            <w:pPr>
              <w:keepNext/>
              <w:keepLines/>
              <w:spacing w:after="0" w:line="348" w:lineRule="exact"/>
              <w:ind w:firstLine="0"/>
              <w:jc w:val="center"/>
            </w:pPr>
            <w:r>
              <w:rPr>
                <w:rFonts w:cs="Times New Roman"/>
                <w:b/>
              </w:rPr>
              <w:t>保存内容与用途</w:t>
            </w:r>
          </w:p>
        </w:tc>
      </w:tr>
      <w:tr w:rsidR="00083274" w14:paraId="1AA7640E" w14:textId="77777777">
        <w:trPr>
          <w:cantSplit/>
          <w:jc w:val="center"/>
        </w:trPr>
        <w:tc>
          <w:tcPr>
            <w:tcW w:w="1757" w:type="dxa"/>
            <w:tcMar>
              <w:top w:w="90" w:type="dxa"/>
              <w:left w:w="85" w:type="dxa"/>
              <w:bottom w:w="90" w:type="dxa"/>
              <w:right w:w="85" w:type="dxa"/>
            </w:tcMar>
            <w:vAlign w:val="center"/>
          </w:tcPr>
          <w:p w14:paraId="6C7AEB00" w14:textId="77777777" w:rsidR="00083274" w:rsidRDefault="00CD44F7">
            <w:pPr>
              <w:keepNext/>
              <w:keepLines/>
              <w:spacing w:after="0" w:line="348" w:lineRule="exact"/>
              <w:ind w:firstLine="0"/>
              <w:jc w:val="left"/>
            </w:pPr>
            <w:r>
              <w:rPr>
                <w:rFonts w:cs="Times New Roman"/>
              </w:rPr>
              <w:t>实例记录</w:t>
            </w:r>
          </w:p>
        </w:tc>
        <w:tc>
          <w:tcPr>
            <w:tcW w:w="7143" w:type="dxa"/>
            <w:tcMar>
              <w:top w:w="90" w:type="dxa"/>
              <w:left w:w="85" w:type="dxa"/>
              <w:bottom w:w="90" w:type="dxa"/>
              <w:right w:w="85" w:type="dxa"/>
            </w:tcMar>
            <w:vAlign w:val="center"/>
          </w:tcPr>
          <w:p w14:paraId="42964A26" w14:textId="77777777" w:rsidR="00083274" w:rsidRDefault="00CD44F7">
            <w:pPr>
              <w:keepNext/>
              <w:keepLines/>
              <w:spacing w:after="0" w:line="348" w:lineRule="exact"/>
              <w:ind w:firstLine="0"/>
              <w:jc w:val="left"/>
            </w:pPr>
            <w:r>
              <w:rPr>
                <w:rFonts w:cs="Times New Roman"/>
              </w:rPr>
              <w:t>实例标识、完整事件与环境输入、环境配置及校验值、来源、有效性、各策略版本的实际结果。</w:t>
            </w:r>
          </w:p>
        </w:tc>
      </w:tr>
      <w:tr w:rsidR="00083274" w14:paraId="1DF22DDF" w14:textId="77777777">
        <w:trPr>
          <w:cantSplit/>
          <w:jc w:val="center"/>
        </w:trPr>
        <w:tc>
          <w:tcPr>
            <w:tcW w:w="1757" w:type="dxa"/>
            <w:tcMar>
              <w:top w:w="90" w:type="dxa"/>
              <w:left w:w="85" w:type="dxa"/>
              <w:bottom w:w="90" w:type="dxa"/>
              <w:right w:w="85" w:type="dxa"/>
            </w:tcMar>
            <w:vAlign w:val="center"/>
          </w:tcPr>
          <w:p w14:paraId="22B6352B" w14:textId="77777777" w:rsidR="00083274" w:rsidRDefault="00CD44F7">
            <w:pPr>
              <w:keepNext/>
              <w:keepLines/>
              <w:spacing w:after="0" w:line="348" w:lineRule="exact"/>
              <w:ind w:firstLine="0"/>
              <w:jc w:val="left"/>
            </w:pPr>
            <w:r>
              <w:rPr>
                <w:rFonts w:cs="Times New Roman"/>
              </w:rPr>
              <w:t>邻域链接</w:t>
            </w:r>
          </w:p>
        </w:tc>
        <w:tc>
          <w:tcPr>
            <w:tcW w:w="7143" w:type="dxa"/>
            <w:tcMar>
              <w:top w:w="90" w:type="dxa"/>
              <w:left w:w="85" w:type="dxa"/>
              <w:bottom w:w="90" w:type="dxa"/>
              <w:right w:w="85" w:type="dxa"/>
            </w:tcMar>
            <w:vAlign w:val="center"/>
          </w:tcPr>
          <w:p w14:paraId="4322826B" w14:textId="77777777" w:rsidR="00083274" w:rsidRDefault="00CD44F7">
            <w:pPr>
              <w:keepNext/>
              <w:keepLines/>
              <w:spacing w:after="0" w:line="348" w:lineRule="exact"/>
              <w:ind w:firstLine="0"/>
              <w:jc w:val="left"/>
            </w:pPr>
            <w:r>
              <w:rPr>
                <w:rFonts w:cs="Times New Roman"/>
              </w:rPr>
              <w:t>原始失效与成功邻点标识、选中连续坐标、固定坐标、允许范围、归一化尺度、端点距离及发现版本。</w:t>
            </w:r>
          </w:p>
        </w:tc>
      </w:tr>
      <w:tr w:rsidR="00083274" w14:paraId="379BB9BD" w14:textId="77777777">
        <w:trPr>
          <w:cantSplit/>
          <w:jc w:val="center"/>
        </w:trPr>
        <w:tc>
          <w:tcPr>
            <w:tcW w:w="1757" w:type="dxa"/>
            <w:tcMar>
              <w:top w:w="90" w:type="dxa"/>
              <w:left w:w="85" w:type="dxa"/>
              <w:bottom w:w="90" w:type="dxa"/>
              <w:right w:w="85" w:type="dxa"/>
            </w:tcMar>
            <w:vAlign w:val="center"/>
          </w:tcPr>
          <w:p w14:paraId="6ED6862C" w14:textId="77777777" w:rsidR="00083274" w:rsidRDefault="00CD44F7">
            <w:pPr>
              <w:keepNext/>
              <w:keepLines/>
              <w:spacing w:after="0" w:line="348" w:lineRule="exact"/>
              <w:ind w:firstLine="0"/>
              <w:jc w:val="left"/>
            </w:pPr>
            <w:r>
              <w:rPr>
                <w:rFonts w:cs="Times New Roman"/>
              </w:rPr>
              <w:t>区域记录</w:t>
            </w:r>
          </w:p>
        </w:tc>
        <w:tc>
          <w:tcPr>
            <w:tcW w:w="7143" w:type="dxa"/>
            <w:tcMar>
              <w:top w:w="90" w:type="dxa"/>
              <w:left w:w="85" w:type="dxa"/>
              <w:bottom w:w="90" w:type="dxa"/>
              <w:right w:w="85" w:type="dxa"/>
            </w:tcMar>
            <w:vAlign w:val="center"/>
          </w:tcPr>
          <w:p w14:paraId="36E62EBC" w14:textId="77777777" w:rsidR="00083274" w:rsidRDefault="00CD44F7">
            <w:pPr>
              <w:keepNext/>
              <w:keepLines/>
              <w:spacing w:after="0" w:line="348" w:lineRule="exact"/>
              <w:ind w:firstLine="0"/>
              <w:jc w:val="left"/>
            </w:pPr>
            <w:r>
              <w:rPr>
                <w:rFonts w:cs="Times New Roman"/>
              </w:rPr>
              <w:t>区域标识、交互特征或分组规则、代表实例、本轮唯一成员及集合版本。</w:t>
            </w:r>
          </w:p>
        </w:tc>
      </w:tr>
      <w:tr w:rsidR="00083274" w14:paraId="628239DE" w14:textId="77777777">
        <w:trPr>
          <w:cantSplit/>
          <w:jc w:val="center"/>
        </w:trPr>
        <w:tc>
          <w:tcPr>
            <w:tcW w:w="1757" w:type="dxa"/>
            <w:tcMar>
              <w:top w:w="90" w:type="dxa"/>
              <w:left w:w="85" w:type="dxa"/>
              <w:bottom w:w="90" w:type="dxa"/>
              <w:right w:w="85" w:type="dxa"/>
            </w:tcMar>
            <w:vAlign w:val="center"/>
          </w:tcPr>
          <w:p w14:paraId="6C316086" w14:textId="77777777" w:rsidR="00083274" w:rsidRDefault="00CD44F7">
            <w:pPr>
              <w:keepLines/>
              <w:spacing w:after="0" w:line="348" w:lineRule="exact"/>
              <w:ind w:firstLine="0"/>
              <w:jc w:val="left"/>
            </w:pPr>
            <w:r>
              <w:rPr>
                <w:rFonts w:cs="Times New Roman"/>
              </w:rPr>
              <w:t>版本配对记录</w:t>
            </w:r>
          </w:p>
        </w:tc>
        <w:tc>
          <w:tcPr>
            <w:tcW w:w="7143" w:type="dxa"/>
            <w:tcMar>
              <w:top w:w="90" w:type="dxa"/>
              <w:left w:w="85" w:type="dxa"/>
              <w:bottom w:w="90" w:type="dxa"/>
              <w:right w:w="85" w:type="dxa"/>
            </w:tcMar>
            <w:vAlign w:val="center"/>
          </w:tcPr>
          <w:p w14:paraId="3D50DEDB" w14:textId="77777777" w:rsidR="00083274" w:rsidRDefault="00CD44F7">
            <w:pPr>
              <w:keepLines/>
              <w:spacing w:after="0" w:line="348" w:lineRule="exact"/>
              <w:ind w:firstLine="0"/>
              <w:jc w:val="left"/>
            </w:pPr>
            <w:r>
              <w:rPr>
                <w:rFonts w:cs="Times New Roman"/>
              </w:rPr>
              <w:t>基准和待比较版本、固定输入校验值、两次有效性、两次结果、所属区域及实际仿真消耗。</w:t>
            </w:r>
          </w:p>
        </w:tc>
      </w:tr>
    </w:tbl>
    <w:p w14:paraId="38F2F056" w14:textId="77777777" w:rsidR="00083274" w:rsidRDefault="00083274">
      <w:pPr>
        <w:spacing w:after="40" w:line="60" w:lineRule="exact"/>
        <w:ind w:firstLine="0"/>
      </w:pPr>
    </w:p>
    <w:p w14:paraId="5AFAE24A" w14:textId="77777777" w:rsidR="00083274" w:rsidRDefault="00CD44F7">
      <w:r>
        <w:rPr>
          <w:rFonts w:cs="Times New Roman"/>
        </w:rPr>
        <w:t>内容相同的实例按事件、完整环境输入及配置生成统一标识。一个实例可关联多个邻域链接，但在本轮同一区域统计中只计一次；需在不同区域保留链接时，按预定规则确定一个主区域参与计数，其他关系只用于检索。</w:t>
      </w:r>
    </w:p>
    <w:p w14:paraId="65C822EC" w14:textId="77777777" w:rsidR="00083274" w:rsidRDefault="00CD44F7">
      <w:pPr>
        <w:pStyle w:val="21"/>
        <w:keepLines w:val="0"/>
      </w:pPr>
      <w:r>
        <w:rPr>
          <w:rFonts w:cs="Times New Roman"/>
        </w:rPr>
        <w:t xml:space="preserve">5.3 </w:t>
      </w:r>
      <w:r>
        <w:rPr>
          <w:rFonts w:cs="Times New Roman"/>
        </w:rPr>
        <w:t>受控成功邻点搜索</w:t>
      </w:r>
    </w:p>
    <w:p w14:paraId="49F0A31B" w14:textId="77777777" w:rsidR="00083274" w:rsidRDefault="00CD44F7">
      <w:pPr>
        <w:keepNext/>
      </w:pPr>
      <w:r>
        <w:rPr>
          <w:rFonts w:cs="Times New Roman"/>
        </w:rPr>
        <w:t>对基准策略下的有效失效实例选取有限个连续输入坐标</w:t>
      </w:r>
      <w:r>
        <w:rPr>
          <w:rFonts w:cs="Times New Roman"/>
        </w:rPr>
        <w:t>J</w:t>
      </w:r>
      <w:r>
        <w:rPr>
          <w:rFonts w:cs="Times New Roman"/>
        </w:rPr>
        <w:t>，例如相邻车辆切入时刻、目标速度或响应延迟。选择方式可以是预设规则、人工指定或已有搜索器提供。保持事件、离散机动及其他环境输入不变，在满足物理与输入约束的局部范围内生成候选。候选与失效端点满足：</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1B32290F" w14:textId="77777777">
        <w:trPr>
          <w:cantSplit/>
          <w:jc w:val="center"/>
        </w:trPr>
        <w:tc>
          <w:tcPr>
            <w:tcW w:w="198" w:type="dxa"/>
            <w:tcMar>
              <w:top w:w="0" w:type="dxa"/>
              <w:left w:w="0" w:type="dxa"/>
              <w:bottom w:w="0" w:type="dxa"/>
              <w:right w:w="0" w:type="dxa"/>
            </w:tcMar>
            <w:vAlign w:val="center"/>
          </w:tcPr>
          <w:p w14:paraId="2FAE27D0"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473A2AB5"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r>
                      <w:rPr>
                        <w:rFonts w:ascii="Cambria Math" w:hAnsi="Cambria Math"/>
                      </w:rPr>
                      <m:t>,-</m:t>
                    </m:r>
                    <m:r>
                      <w:rPr>
                        <w:rFonts w:ascii="Cambria Math" w:hAnsi="Cambria Math"/>
                      </w:rPr>
                      <m:t>J</m:t>
                    </m:r>
                  </m:sub>
                </m:sSub>
              </m:oMath>
            </m:oMathPara>
          </w:p>
        </w:tc>
        <w:tc>
          <w:tcPr>
            <w:tcW w:w="680" w:type="dxa"/>
            <w:tcMar>
              <w:top w:w="0" w:type="dxa"/>
              <w:left w:w="0" w:type="dxa"/>
              <w:bottom w:w="0" w:type="dxa"/>
              <w:right w:w="0" w:type="dxa"/>
            </w:tcMar>
            <w:vAlign w:val="center"/>
          </w:tcPr>
          <w:p w14:paraId="1D853AEC" w14:textId="77777777" w:rsidR="00083274" w:rsidRDefault="00CD44F7">
            <w:pPr>
              <w:keepNext/>
              <w:keepLines/>
              <w:spacing w:before="80" w:after="100" w:line="480" w:lineRule="atLeast"/>
              <w:ind w:firstLine="0"/>
              <w:jc w:val="right"/>
            </w:pPr>
            <w:r>
              <w:rPr>
                <w:rFonts w:cs="Times New Roman"/>
              </w:rPr>
              <w:t>(2)</w:t>
            </w:r>
          </w:p>
        </w:tc>
      </w:tr>
    </w:tbl>
    <w:p w14:paraId="6E5DD633" w14:textId="77777777" w:rsidR="00083274" w:rsidRDefault="00CD44F7">
      <w:r>
        <w:rPr>
          <w:rFonts w:cs="Times New Roman"/>
        </w:rPr>
        <w:t>对每个候选从相同事件起点执行完整闭环仿真，得到有效成功结果时形成成功端点。搜索以预设候选次数或物理仿真步数为限。未找到成功端点时保留原失效及搜索未完成状态，后续可继续搜索，不能将未完成实例当作成功邻点。</w:t>
      </w:r>
    </w:p>
    <w:p w14:paraId="20EF53BF" w14:textId="77777777" w:rsidR="00083274" w:rsidRDefault="00CD44F7">
      <w:pPr>
        <w:keepNext/>
      </w:pPr>
      <w:r>
        <w:rPr>
          <w:rFonts w:cs="Times New Roman"/>
        </w:rPr>
        <w:t>为比较不同量纲的变化，为每个选中坐标设置正尺度</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cs="Times New Roman"/>
        </w:rPr>
        <w:t>，采用归一化距离：</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670134C4" w14:textId="77777777">
        <w:trPr>
          <w:cantSplit/>
          <w:jc w:val="center"/>
        </w:trPr>
        <w:tc>
          <w:tcPr>
            <w:tcW w:w="198" w:type="dxa"/>
            <w:tcMar>
              <w:top w:w="0" w:type="dxa"/>
              <w:left w:w="0" w:type="dxa"/>
              <w:bottom w:w="0" w:type="dxa"/>
              <w:right w:w="0" w:type="dxa"/>
            </w:tcMar>
            <w:vAlign w:val="center"/>
          </w:tcPr>
          <w:p w14:paraId="186C8B8C"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17324670" w14:textId="77777777" w:rsidR="00083274" w:rsidRDefault="00CD44F7">
            <w:pPr>
              <w:keepNext/>
              <w:keepLines/>
              <w:spacing w:before="80" w:after="100" w:line="480" w:lineRule="atLeast"/>
              <w:ind w:firstLine="0"/>
              <w:jc w:val="right"/>
            </w:pPr>
            <m:oMathPara>
              <m:oMathParaPr>
                <m:jc m:val="right"/>
              </m:oMathParaPr>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nary>
                  <m:naryPr>
                    <m:chr m:val="∑"/>
                    <m:limLoc m:val="subSup"/>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f>
                      <m:fPr>
                        <m:ctrlPr>
                          <w:rPr>
                            <w:rFonts w:ascii="Cambria Math" w:hAnsi="Cambria Math"/>
                          </w:rPr>
                        </m:ctrlPr>
                      </m:fPr>
                      <m:num>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r>
                                  <w:rPr>
                                    <w:rFonts w:ascii="Cambria Math" w:hAnsi="Cambria Math"/>
                                  </w:rPr>
                                  <m:t>,</m:t>
                                </m:r>
                                <m:r>
                                  <w:rPr>
                                    <w:rFonts w:ascii="Cambria Math" w:hAnsi="Cambria Math"/>
                                  </w:rPr>
                                  <m:t>j</m:t>
                                </m:r>
                              </m:sub>
                            </m:sSub>
                            <m:r>
                              <w:rPr>
                                <w:rFonts w:ascii="Cambria Math" w:hAnsi="Cambria Math"/>
                              </w:rPr>
                              <m:t>)</m:t>
                            </m:r>
                          </m:e>
                          <m:sup>
                            <m:r>
                              <w:rPr>
                                <w:rFonts w:ascii="Cambria Math" w:hAnsi="Cambria Math"/>
                              </w:rPr>
                              <m:t>2</m:t>
                            </m:r>
                          </m:sup>
                        </m:sSup>
                      </m:num>
                      <m:den>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j</m:t>
                                </m:r>
                              </m:sub>
                            </m:sSub>
                          </m:e>
                          <m:sup>
                            <m:r>
                              <w:rPr>
                                <w:rFonts w:ascii="Cambria Math" w:hAnsi="Cambria Math"/>
                              </w:rPr>
                              <m:t>2</m:t>
                            </m:r>
                          </m:sup>
                        </m:sSup>
                      </m:den>
                    </m:f>
                  </m:e>
                </m:nary>
              </m:oMath>
            </m:oMathPara>
          </w:p>
        </w:tc>
        <w:tc>
          <w:tcPr>
            <w:tcW w:w="680" w:type="dxa"/>
            <w:tcMar>
              <w:top w:w="0" w:type="dxa"/>
              <w:left w:w="0" w:type="dxa"/>
              <w:bottom w:w="0" w:type="dxa"/>
              <w:right w:w="0" w:type="dxa"/>
            </w:tcMar>
            <w:vAlign w:val="center"/>
          </w:tcPr>
          <w:p w14:paraId="7EC50296" w14:textId="77777777" w:rsidR="00083274" w:rsidRDefault="00CD44F7">
            <w:pPr>
              <w:keepNext/>
              <w:keepLines/>
              <w:spacing w:before="80" w:after="100" w:line="480" w:lineRule="atLeast"/>
              <w:ind w:firstLine="0"/>
              <w:jc w:val="right"/>
            </w:pPr>
            <w:r>
              <w:rPr>
                <w:rFonts w:cs="Times New Roman"/>
              </w:rPr>
              <w:t>(3)</w:t>
            </w:r>
          </w:p>
        </w:tc>
      </w:tr>
    </w:tbl>
    <w:p w14:paraId="34524235" w14:textId="77777777" w:rsidR="00083274" w:rsidRDefault="00CD44F7">
      <w:r>
        <w:rPr>
          <w:rFonts w:cs="Times New Roman"/>
        </w:rPr>
        <w:t>坐标尺度可取允许变化范围或预先固定的统计尺度。局部范围、尺度和离散行为在一次邻域构造中保持不变。外部场景库已提供邻域关系时，读取两端完整输入，检查非选中坐标一致性，并在同一基准策略下确认相反结果后建立正式链接。</w:t>
      </w:r>
    </w:p>
    <w:p w14:paraId="52C2C085" w14:textId="77777777" w:rsidR="00083274" w:rsidRDefault="00CD44F7">
      <w:pPr>
        <w:pStyle w:val="21"/>
        <w:keepLines w:val="0"/>
      </w:pPr>
      <w:r>
        <w:rPr>
          <w:rFonts w:cs="Times New Roman"/>
        </w:rPr>
        <w:lastRenderedPageBreak/>
        <w:t xml:space="preserve">5.4 </w:t>
      </w:r>
      <w:r>
        <w:rPr>
          <w:rFonts w:cs="Times New Roman"/>
        </w:rPr>
        <w:t>端点细化与邻域保留</w:t>
      </w:r>
    </w:p>
    <w:p w14:paraId="1460A348" w14:textId="77777777" w:rsidR="00083274" w:rsidRDefault="00CD44F7">
      <w:pPr>
        <w:keepNext/>
      </w:pPr>
      <w:r>
        <w:rPr>
          <w:rFonts w:cs="Times New Roman"/>
        </w:rPr>
        <w:t>取得有效失效端点和成功端点后，在选中连续坐标中取中点，其他输入保持固定，按式（</w:t>
      </w:r>
      <w:r>
        <w:rPr>
          <w:rFonts w:cs="Times New Roman"/>
        </w:rPr>
        <w:t>4</w:t>
      </w:r>
      <w:r>
        <w:rPr>
          <w:rFonts w:cs="Times New Roman"/>
        </w:rPr>
        <w:t>）恢复候选并实际执行：</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525C1AEE" w14:textId="77777777">
        <w:trPr>
          <w:cantSplit/>
          <w:jc w:val="center"/>
        </w:trPr>
        <w:tc>
          <w:tcPr>
            <w:tcW w:w="198" w:type="dxa"/>
            <w:tcMar>
              <w:top w:w="0" w:type="dxa"/>
              <w:left w:w="0" w:type="dxa"/>
              <w:bottom w:w="0" w:type="dxa"/>
              <w:right w:w="0" w:type="dxa"/>
            </w:tcMar>
            <w:vAlign w:val="center"/>
          </w:tcPr>
          <w:p w14:paraId="5A64C963"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678EB8B3"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ω</m:t>
                    </m:r>
                  </m:e>
                  <m:sub>
                    <m:r>
                      <w:rPr>
                        <w:rFonts w:ascii="Cambria Math" w:hAnsi="Cambria Math"/>
                      </w:rPr>
                      <m:t>m</m:t>
                    </m:r>
                    <m:r>
                      <w:rPr>
                        <w:rFonts w:ascii="Cambria Math" w:hAnsi="Cambria Math"/>
                      </w:rPr>
                      <m:t>,</m:t>
                    </m:r>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r>
                          <w:rPr>
                            <w:rFonts w:ascii="Cambria Math" w:hAnsi="Cambria Math"/>
                          </w:rPr>
                          <m:t>,</m:t>
                        </m:r>
                        <m:r>
                          <w:rPr>
                            <w:rFonts w:ascii="Cambria Math" w:hAnsi="Cambria Math"/>
                          </w:rPr>
                          <m:t>J</m:t>
                        </m:r>
                      </m:sub>
                    </m:sSub>
                  </m:num>
                  <m:den>
                    <m:r>
                      <w:rPr>
                        <w:rFonts w:ascii="Cambria Math" w:hAnsi="Cambria Math"/>
                      </w:rPr>
                      <m:t>2</m:t>
                    </m:r>
                  </m:den>
                </m:f>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m</m:t>
                    </m:r>
                    <m: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r>
                      <w:rPr>
                        <w:rFonts w:ascii="Cambria Math" w:hAnsi="Cambria Math"/>
                      </w:rPr>
                      <m:t>,-</m:t>
                    </m:r>
                    <m:r>
                      <w:rPr>
                        <w:rFonts w:ascii="Cambria Math" w:hAnsi="Cambria Math"/>
                      </w:rPr>
                      <m:t>J</m:t>
                    </m:r>
                  </m:sub>
                </m:sSub>
              </m:oMath>
            </m:oMathPara>
          </w:p>
        </w:tc>
        <w:tc>
          <w:tcPr>
            <w:tcW w:w="680" w:type="dxa"/>
            <w:tcMar>
              <w:top w:w="0" w:type="dxa"/>
              <w:left w:w="0" w:type="dxa"/>
              <w:bottom w:w="0" w:type="dxa"/>
              <w:right w:w="0" w:type="dxa"/>
            </w:tcMar>
            <w:vAlign w:val="center"/>
          </w:tcPr>
          <w:p w14:paraId="69508DC8" w14:textId="77777777" w:rsidR="00083274" w:rsidRDefault="00CD44F7">
            <w:pPr>
              <w:keepNext/>
              <w:keepLines/>
              <w:spacing w:before="80" w:after="100" w:line="480" w:lineRule="atLeast"/>
              <w:ind w:firstLine="0"/>
              <w:jc w:val="right"/>
            </w:pPr>
            <w:r>
              <w:rPr>
                <w:rFonts w:cs="Times New Roman"/>
              </w:rPr>
              <w:t>(4)</w:t>
            </w:r>
          </w:p>
        </w:tc>
      </w:tr>
    </w:tbl>
    <w:p w14:paraId="3281FE2B" w14:textId="77777777" w:rsidR="00083274" w:rsidRDefault="00CD44F7">
      <w:r>
        <w:rPr>
          <w:rFonts w:cs="Times New Roman"/>
        </w:rPr>
        <w:t>候选有效失效时替换失效端点，有效成功时替换成功端点。每次替换后继续保留一对经实际执行确认的相反结果。输入约束使中点不可执行时，可选取区间内其他可行点；无可行点或异常重试达到限额时停止本次细化。离散机动分别建立分支，不对类别编号作数值中点运算。</w:t>
      </w:r>
    </w:p>
    <w:p w14:paraId="40008C11" w14:textId="77777777" w:rsidR="00083274" w:rsidRDefault="00CD44F7">
      <w:r>
        <w:rPr>
          <w:rFonts w:cs="Times New Roman"/>
        </w:rPr>
        <w:t>距离达到阈值或预算耗尽时，保存原始失效、最终端点及其链接，如图</w:t>
      </w:r>
      <w:r>
        <w:rPr>
          <w:rFonts w:cs="Times New Roman"/>
        </w:rPr>
        <w:t>2</w:t>
      </w:r>
      <w:r>
        <w:rPr>
          <w:rFonts w:cs="Times New Roman"/>
        </w:rPr>
        <w:t>所示。该过程描述被执行验证的局部输入关系；不同局部条件可有多个结果变化区间，因此每个候选均由实际执行决定其标签。成功邻点使用改变后的环境输入，其作用是提供局部成功条件，不据此判定原失效输入在其他控制器下是否可避免。</w:t>
      </w:r>
    </w:p>
    <w:p w14:paraId="700A36D9" w14:textId="77777777" w:rsidR="00083274" w:rsidRDefault="00CD44F7">
      <w:pPr>
        <w:pStyle w:val="21"/>
        <w:keepLines w:val="0"/>
      </w:pPr>
      <w:r>
        <w:rPr>
          <w:rFonts w:cs="Times New Roman"/>
        </w:rPr>
        <w:t xml:space="preserve">5.5 </w:t>
      </w:r>
      <w:r>
        <w:rPr>
          <w:rFonts w:cs="Times New Roman"/>
        </w:rPr>
        <w:t>本轮基准确认与区域固定</w:t>
      </w:r>
    </w:p>
    <w:p w14:paraId="52E71865" w14:textId="77777777" w:rsidR="00083274" w:rsidRDefault="00CD44F7">
      <w:r>
        <w:rPr>
          <w:rFonts w:cs="Times New Roman"/>
        </w:rPr>
        <w:t>接收待比较策略后，先从邻域档案选择本轮比较集合。按预定实例配额和输入相似度去重，优先使每个被选邻域的两端均可参与。对所有选中实例恢复输入，在本轮基准策略下确认结果。只有策略版本、完整输入、环境配置和判据均一致且执行有效时，才可复用对应基准结果缓存。</w:t>
      </w:r>
    </w:p>
    <w:p w14:paraId="069FB462" w14:textId="77777777" w:rsidR="00083274" w:rsidRDefault="00CD44F7">
      <w:r>
        <w:rPr>
          <w:rFonts w:cs="Times New Roman"/>
        </w:rPr>
        <w:t>原始失效和成功邻点是来源标识，不能代替本轮标签。若某一历史邻域的两端在当前基准下已同为成功或同为失效，仍按当前实际结果分别进入统计。需要取得当前相反结果时，在本轮集合固定之前另行开展邻点搜索并保存新的链接。</w:t>
      </w:r>
    </w:p>
    <w:p w14:paraId="37D7D756" w14:textId="77777777" w:rsidR="00083274" w:rsidRDefault="00CD44F7">
      <w:r>
        <w:rPr>
          <w:rFonts w:cs="Times New Roman"/>
        </w:rPr>
        <w:t>根据基准执行中的交互参与关系、相对运动及机动顺序，采用规则网格、聚类或预设交通类别形成经验区域。每个邻域可沿用关联原始失效的主区域；多重关联按最近代表、最早链接或固定标识顺序确定唯一主区域。保存区域规则、成员标识和集合版本后再读取待比较策略结果。</w:t>
      </w:r>
    </w:p>
    <w:p w14:paraId="6E6CDFDF" w14:textId="77777777" w:rsidR="00083274" w:rsidRDefault="00CD44F7">
      <w:r>
        <w:rPr>
          <w:rFonts w:cs="Times New Roman"/>
        </w:rPr>
        <w:t>所述区域用于组织已观察实例，并非对全部可能失效的完整划分。下一轮可依据新策略重建区域，但需另存新的集合版本，避免将成员变化混入同一轮的版本差异。</w:t>
      </w:r>
    </w:p>
    <w:p w14:paraId="61D561D9" w14:textId="77777777" w:rsidR="00083274" w:rsidRDefault="00CD44F7">
      <w:pPr>
        <w:pStyle w:val="21"/>
        <w:keepLines w:val="0"/>
      </w:pPr>
      <w:r>
        <w:rPr>
          <w:rFonts w:cs="Times New Roman"/>
        </w:rPr>
        <w:t xml:space="preserve">5.6 </w:t>
      </w:r>
      <w:r>
        <w:rPr>
          <w:rFonts w:cs="Times New Roman"/>
        </w:rPr>
        <w:t>相同输入下的版本配对</w:t>
      </w:r>
    </w:p>
    <w:p w14:paraId="5217BB24" w14:textId="77777777" w:rsidR="00083274" w:rsidRDefault="00CD44F7">
      <w:r>
        <w:rPr>
          <w:rFonts w:cs="Times New Roman"/>
        </w:rPr>
        <w:t>对本轮每个有效基准实例恢复其完整输入和</w:t>
      </w:r>
      <w:r>
        <w:rPr>
          <w:rFonts w:cs="Times New Roman"/>
        </w:rPr>
        <w:t>θ</w:t>
      </w:r>
      <w:r>
        <w:rPr>
          <w:rFonts w:cs="Times New Roman"/>
        </w:rPr>
        <w:t>，执行待比较策略，形成一条版本配对记录。局部失效与成功邻点分别具有自身输入：同一实例跨版本输入保持一致，</w:t>
      </w:r>
      <w:r>
        <w:rPr>
          <w:rFonts w:cs="Times New Roman"/>
        </w:rPr>
        <w:lastRenderedPageBreak/>
        <w:t>两个邻点之间保留已记录的局部差异。图</w:t>
      </w:r>
      <w:r>
        <w:rPr>
          <w:rFonts w:cs="Times New Roman"/>
        </w:rPr>
        <w:t>3</w:t>
      </w:r>
      <w:r>
        <w:rPr>
          <w:rFonts w:cs="Times New Roman"/>
        </w:rPr>
        <w:t>示出来源标签、当前基准标签及四类版本结果的关系。</w:t>
      </w:r>
    </w:p>
    <w:p w14:paraId="737330D6" w14:textId="77777777" w:rsidR="00083274" w:rsidRDefault="00CD44F7">
      <w:r>
        <w:rPr>
          <w:rFonts w:cs="Times New Roman"/>
        </w:rPr>
        <w:t>一次执行无效时，按预定次数从相同初态重试；达到限额仍无效则标记异常，本轮不计入有效配对分母。保存待处理原因及已消耗预算。对具有不可消除随机性的环境，可为每个实例预定多个独立重复索引；每个重复索引的新旧版本仍使用对应输入，完整重复项作为统计单位。</w:t>
      </w:r>
    </w:p>
    <w:p w14:paraId="25257D00" w14:textId="77777777" w:rsidR="00083274" w:rsidRDefault="00CD44F7">
      <w:pPr>
        <w:keepNext/>
      </w:pPr>
      <w:r>
        <w:rPr>
          <w:rFonts w:cs="Times New Roman"/>
        </w:rPr>
        <w:t>将两次执行均有效的区域实例集合记为</w:t>
      </w:r>
      <m:oMath>
        <m:sSub>
          <m:sSubPr>
            <m:ctrlPr>
              <w:rPr>
                <w:rFonts w:ascii="Cambria Math" w:hAnsi="Cambria Math"/>
              </w:rPr>
            </m:ctrlPr>
          </m:sSubPr>
          <m:e>
            <m:r>
              <w:rPr>
                <w:rFonts w:ascii="Cambria Math" w:hAnsi="Cambria Math"/>
              </w:rPr>
              <m:t>A</m:t>
            </m:r>
          </m:e>
          <m:sub>
            <m:r>
              <w:rPr>
                <w:rFonts w:ascii="Cambria Math" w:hAnsi="Cambria Math"/>
              </w:rPr>
              <m:t>g</m:t>
            </m:r>
          </m:sub>
        </m:sSub>
      </m:oMath>
      <w:r>
        <w:rPr>
          <w:rFonts w:cs="Times New Roman"/>
        </w:rPr>
        <w:t>。以</w:t>
      </w:r>
      <w:r>
        <w:rPr>
          <w:rFonts w:cs="Times New Roman"/>
        </w:rPr>
        <w:t>a</w:t>
      </w:r>
      <w:r>
        <w:rPr>
          <w:rFonts w:cs="Times New Roman"/>
        </w:rPr>
        <w:t>表示基准结果、</w:t>
      </w:r>
      <w:r>
        <w:rPr>
          <w:rFonts w:cs="Times New Roman"/>
        </w:rPr>
        <w:t>b</w:t>
      </w:r>
      <w:r>
        <w:rPr>
          <w:rFonts w:cs="Times New Roman"/>
        </w:rPr>
        <w:t>表示待比较结果，按式（</w:t>
      </w:r>
      <w:r>
        <w:rPr>
          <w:rFonts w:cs="Times New Roman"/>
        </w:rPr>
        <w:t>5</w:t>
      </w:r>
      <w:r>
        <w:rPr>
          <w:rFonts w:cs="Times New Roman"/>
        </w:rPr>
        <w:t>）计算四类数量：</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40508D31" w14:textId="77777777">
        <w:trPr>
          <w:cantSplit/>
          <w:jc w:val="center"/>
        </w:trPr>
        <w:tc>
          <w:tcPr>
            <w:tcW w:w="198" w:type="dxa"/>
            <w:tcMar>
              <w:top w:w="0" w:type="dxa"/>
              <w:left w:w="0" w:type="dxa"/>
              <w:bottom w:w="0" w:type="dxa"/>
              <w:right w:w="0" w:type="dxa"/>
            </w:tcMar>
            <w:vAlign w:val="center"/>
          </w:tcPr>
          <w:p w14:paraId="2A393B33"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70A0D0F7" w14:textId="77777777" w:rsidR="00083274" w:rsidRDefault="00CD44F7">
            <w:pPr>
              <w:keepNext/>
              <w:keepLines/>
              <w:spacing w:before="80" w:after="100" w:line="480" w:lineRule="atLeast"/>
              <w:ind w:firstLine="0"/>
              <w:jc w:val="right"/>
            </w:pPr>
            <m:oMathPara>
              <m:oMathParaPr>
                <m:jc m:val="right"/>
              </m:oMathParaPr>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ab</m:t>
                        </m:r>
                      </m:sub>
                    </m:sSub>
                  </m:e>
                  <m:sup>
                    <m:r>
                      <w:rPr>
                        <w:rFonts w:ascii="Cambria Math" w:hAnsi="Cambria Math"/>
                      </w:rPr>
                      <m:t>g</m:t>
                    </m:r>
                  </m:sup>
                </m:sSup>
                <m:r>
                  <w:rPr>
                    <w:rFonts w:ascii="Cambria Math" w:hAnsi="Cambria Math"/>
                  </w:rPr>
                  <m:t>=</m:t>
                </m:r>
                <m:nary>
                  <m:naryPr>
                    <m:chr m:val="∑"/>
                    <m:limLoc m:val="subSup"/>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sub>
                  <m:sup/>
                  <m:e>
                    <m:r>
                      <m:rPr>
                        <m:scr m:val="double-struck"/>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a</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+1,</m:t>
                        </m:r>
                        <m:r>
                          <w:rPr>
                            <w:rFonts w:ascii="Cambria Math" w:hAnsi="Cambria Math"/>
                          </w:rPr>
                          <m:t>i</m:t>
                        </m:r>
                      </m:sub>
                    </m:sSub>
                    <m:r>
                      <w:rPr>
                        <w:rFonts w:ascii="Cambria Math" w:hAnsi="Cambria Math"/>
                      </w:rPr>
                      <m:t>=</m:t>
                    </m:r>
                    <m:r>
                      <w:rPr>
                        <w:rFonts w:ascii="Cambria Math" w:hAnsi="Cambria Math"/>
                      </w:rPr>
                      <m:t>b</m:t>
                    </m:r>
                    <m:r>
                      <w:rPr>
                        <w:rFonts w:ascii="Cambria Math" w:hAnsi="Cambria Math"/>
                      </w:rPr>
                      <m:t>}</m:t>
                    </m:r>
                  </m:e>
                </m:nary>
                <m:r>
                  <w:rPr>
                    <w:rFonts w:ascii="Cambria Math" w:hAnsi="Cambria Math"/>
                  </w:rPr>
                  <m:t xml:space="preserve">,    </m:t>
                </m:r>
                <m:r>
                  <w:rPr>
                    <w:rFonts w:ascii="Cambria Math" w:hAnsi="Cambria Math"/>
                  </w:rPr>
                  <m:t>a</m:t>
                </m:r>
                <m:r>
                  <w:rPr>
                    <w:rFonts w:ascii="Cambria Math" w:hAnsi="Cambria Math"/>
                  </w:rPr>
                  <m:t>,</m:t>
                </m:r>
                <m:r>
                  <w:rPr>
                    <w:rFonts w:ascii="Cambria Math" w:hAnsi="Cambria Math"/>
                  </w:rPr>
                  <m:t>b</m:t>
                </m:r>
                <m:r>
                  <w:rPr>
                    <w:rFonts w:ascii="Cambria Math" w:hAnsi="Cambria Math"/>
                  </w:rPr>
                  <m:t>∈{0,1}</m:t>
                </m:r>
              </m:oMath>
            </m:oMathPara>
          </w:p>
        </w:tc>
        <w:tc>
          <w:tcPr>
            <w:tcW w:w="680" w:type="dxa"/>
            <w:tcMar>
              <w:top w:w="0" w:type="dxa"/>
              <w:left w:w="0" w:type="dxa"/>
              <w:bottom w:w="0" w:type="dxa"/>
              <w:right w:w="0" w:type="dxa"/>
            </w:tcMar>
            <w:vAlign w:val="center"/>
          </w:tcPr>
          <w:p w14:paraId="647D91D5" w14:textId="77777777" w:rsidR="00083274" w:rsidRDefault="00CD44F7">
            <w:pPr>
              <w:keepNext/>
              <w:keepLines/>
              <w:spacing w:before="80" w:after="100" w:line="480" w:lineRule="atLeast"/>
              <w:ind w:firstLine="0"/>
              <w:jc w:val="right"/>
            </w:pPr>
            <w:r>
              <w:rPr>
                <w:rFonts w:cs="Times New Roman"/>
              </w:rPr>
              <w:t>(5)</w:t>
            </w:r>
          </w:p>
        </w:tc>
      </w:tr>
    </w:tbl>
    <w:p w14:paraId="6D457175" w14:textId="77777777" w:rsidR="00083274" w:rsidRDefault="00CD44F7">
      <w:pPr>
        <w:pStyle w:val="af7"/>
      </w:pPr>
      <w:r>
        <w:rPr>
          <w:rFonts w:cs="Times New Roman"/>
        </w:rPr>
        <w:t>表</w:t>
      </w:r>
      <w:r>
        <w:rPr>
          <w:rFonts w:cs="Times New Roman"/>
        </w:rPr>
        <w:t xml:space="preserve">2 </w:t>
      </w:r>
      <w:r>
        <w:rPr>
          <w:rFonts w:cs="Times New Roman"/>
        </w:rPr>
        <w:t>本轮版本结果分类</w:t>
      </w:r>
    </w:p>
    <w:tbl>
      <w:tblPr>
        <w:tblW w:w="8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3289"/>
        <w:gridCol w:w="3289"/>
      </w:tblGrid>
      <w:tr w:rsidR="00083274" w14:paraId="13DB5310" w14:textId="77777777">
        <w:trPr>
          <w:cantSplit/>
          <w:tblHeader/>
          <w:jc w:val="center"/>
        </w:trPr>
        <w:tc>
          <w:tcPr>
            <w:tcW w:w="2324" w:type="dxa"/>
            <w:shd w:val="clear" w:color="auto" w:fill="FFFFFF"/>
            <w:tcMar>
              <w:top w:w="90" w:type="dxa"/>
              <w:left w:w="85" w:type="dxa"/>
              <w:bottom w:w="90" w:type="dxa"/>
              <w:right w:w="85" w:type="dxa"/>
            </w:tcMar>
            <w:vAlign w:val="center"/>
          </w:tcPr>
          <w:p w14:paraId="1C1E7B7C" w14:textId="77777777" w:rsidR="00083274" w:rsidRDefault="00CD44F7">
            <w:pPr>
              <w:keepNext/>
              <w:keepLines/>
              <w:spacing w:after="0" w:line="348" w:lineRule="exact"/>
              <w:ind w:firstLine="0"/>
              <w:jc w:val="center"/>
            </w:pPr>
            <w:r>
              <w:rPr>
                <w:rFonts w:cs="Times New Roman"/>
                <w:b/>
              </w:rPr>
              <w:t>基准结果</w:t>
            </w:r>
          </w:p>
        </w:tc>
        <w:tc>
          <w:tcPr>
            <w:tcW w:w="3288" w:type="dxa"/>
            <w:shd w:val="clear" w:color="auto" w:fill="FFFFFF"/>
            <w:tcMar>
              <w:top w:w="90" w:type="dxa"/>
              <w:left w:w="85" w:type="dxa"/>
              <w:bottom w:w="90" w:type="dxa"/>
              <w:right w:w="85" w:type="dxa"/>
            </w:tcMar>
            <w:vAlign w:val="center"/>
          </w:tcPr>
          <w:p w14:paraId="5873FFC3" w14:textId="77777777" w:rsidR="00083274" w:rsidRDefault="00CD44F7">
            <w:pPr>
              <w:keepNext/>
              <w:keepLines/>
              <w:spacing w:after="0" w:line="348" w:lineRule="exact"/>
              <w:ind w:firstLine="0"/>
              <w:jc w:val="center"/>
            </w:pPr>
            <w:r>
              <w:rPr>
                <w:rFonts w:cs="Times New Roman"/>
                <w:b/>
              </w:rPr>
              <w:t>新版本成功</w:t>
            </w:r>
            <w:r>
              <w:rPr>
                <w:rFonts w:cs="Times New Roman"/>
                <w:b/>
              </w:rPr>
              <w:t xml:space="preserve"> b=0</w:t>
            </w:r>
          </w:p>
        </w:tc>
        <w:tc>
          <w:tcPr>
            <w:tcW w:w="3288" w:type="dxa"/>
            <w:shd w:val="clear" w:color="auto" w:fill="FFFFFF"/>
            <w:tcMar>
              <w:top w:w="90" w:type="dxa"/>
              <w:left w:w="85" w:type="dxa"/>
              <w:bottom w:w="90" w:type="dxa"/>
              <w:right w:w="85" w:type="dxa"/>
            </w:tcMar>
            <w:vAlign w:val="center"/>
          </w:tcPr>
          <w:p w14:paraId="7527D31F" w14:textId="77777777" w:rsidR="00083274" w:rsidRDefault="00CD44F7">
            <w:pPr>
              <w:keepNext/>
              <w:keepLines/>
              <w:spacing w:after="0" w:line="348" w:lineRule="exact"/>
              <w:ind w:firstLine="0"/>
              <w:jc w:val="center"/>
            </w:pPr>
            <w:r>
              <w:rPr>
                <w:rFonts w:cs="Times New Roman"/>
                <w:b/>
              </w:rPr>
              <w:t>新版本失效</w:t>
            </w:r>
            <w:r>
              <w:rPr>
                <w:rFonts w:cs="Times New Roman"/>
                <w:b/>
              </w:rPr>
              <w:t xml:space="preserve"> b=1</w:t>
            </w:r>
          </w:p>
        </w:tc>
      </w:tr>
      <w:tr w:rsidR="00083274" w14:paraId="4F17F586" w14:textId="77777777">
        <w:trPr>
          <w:cantSplit/>
          <w:jc w:val="center"/>
        </w:trPr>
        <w:tc>
          <w:tcPr>
            <w:tcW w:w="2324" w:type="dxa"/>
            <w:tcMar>
              <w:top w:w="90" w:type="dxa"/>
              <w:left w:w="85" w:type="dxa"/>
              <w:bottom w:w="90" w:type="dxa"/>
              <w:right w:w="85" w:type="dxa"/>
            </w:tcMar>
            <w:vAlign w:val="center"/>
          </w:tcPr>
          <w:p w14:paraId="600E3798" w14:textId="77777777" w:rsidR="00083274" w:rsidRDefault="00CD44F7">
            <w:pPr>
              <w:keepNext/>
              <w:keepLines/>
              <w:spacing w:after="0" w:line="348" w:lineRule="exact"/>
              <w:ind w:firstLine="0"/>
              <w:jc w:val="left"/>
            </w:pPr>
            <w:r>
              <w:rPr>
                <w:rFonts w:cs="Times New Roman"/>
              </w:rPr>
              <w:t>成功</w:t>
            </w:r>
            <w:r>
              <w:rPr>
                <w:rFonts w:cs="Times New Roman"/>
              </w:rPr>
              <w:t xml:space="preserve"> a=0</w:t>
            </w:r>
          </w:p>
        </w:tc>
        <w:tc>
          <w:tcPr>
            <w:tcW w:w="3288" w:type="dxa"/>
            <w:tcMar>
              <w:top w:w="90" w:type="dxa"/>
              <w:left w:w="85" w:type="dxa"/>
              <w:bottom w:w="90" w:type="dxa"/>
              <w:right w:w="85" w:type="dxa"/>
            </w:tcMar>
            <w:vAlign w:val="center"/>
          </w:tcPr>
          <w:p w14:paraId="1C77B78F" w14:textId="77777777" w:rsidR="00083274" w:rsidRDefault="00CD44F7">
            <w:pPr>
              <w:keepNext/>
              <w:keepLines/>
              <w:spacing w:after="0" w:line="348" w:lineRule="exact"/>
              <w:ind w:firstLine="0"/>
              <w:jc w:val="left"/>
            </w:pPr>
            <m:oMath>
              <m:sSub>
                <m:sSubPr>
                  <m:ctrlPr>
                    <w:rPr>
                      <w:rFonts w:ascii="Cambria Math" w:hAnsi="Cambria Math"/>
                    </w:rPr>
                  </m:ctrlPr>
                </m:sSubPr>
                <m:e>
                  <m:r>
                    <w:rPr>
                      <w:rFonts w:ascii="Cambria Math" w:hAnsi="Cambria Math"/>
                    </w:rPr>
                    <m:t>n</m:t>
                  </m:r>
                </m:e>
                <m:sub>
                  <m:r>
                    <w:rPr>
                      <w:rFonts w:ascii="Cambria Math" w:hAnsi="Cambria Math"/>
                    </w:rPr>
                    <m:t>00</m:t>
                  </m:r>
                </m:sub>
              </m:sSub>
            </m:oMath>
            <w:r>
              <w:rPr>
                <w:rFonts w:cs="Times New Roman"/>
              </w:rPr>
              <w:t>：持续成功</w:t>
            </w:r>
          </w:p>
        </w:tc>
        <w:tc>
          <w:tcPr>
            <w:tcW w:w="3288" w:type="dxa"/>
            <w:tcMar>
              <w:top w:w="90" w:type="dxa"/>
              <w:left w:w="85" w:type="dxa"/>
              <w:bottom w:w="90" w:type="dxa"/>
              <w:right w:w="85" w:type="dxa"/>
            </w:tcMar>
            <w:vAlign w:val="center"/>
          </w:tcPr>
          <w:p w14:paraId="37C9ADA9" w14:textId="77777777" w:rsidR="00083274" w:rsidRDefault="00CD44F7">
            <w:pPr>
              <w:keepNext/>
              <w:keepLines/>
              <w:spacing w:after="0" w:line="348" w:lineRule="exact"/>
              <w:ind w:firstLine="0"/>
              <w:jc w:val="left"/>
            </w:pPr>
            <m:oMath>
              <m:sSub>
                <m:sSubPr>
                  <m:ctrlPr>
                    <w:rPr>
                      <w:rFonts w:ascii="Cambria Math" w:hAnsi="Cambria Math"/>
                    </w:rPr>
                  </m:ctrlPr>
                </m:sSubPr>
                <m:e>
                  <m:r>
                    <w:rPr>
                      <w:rFonts w:ascii="Cambria Math" w:hAnsi="Cambria Math"/>
                    </w:rPr>
                    <m:t>n</m:t>
                  </m:r>
                </m:e>
                <m:sub>
                  <m:r>
                    <w:rPr>
                      <w:rFonts w:ascii="Cambria Math" w:hAnsi="Cambria Math"/>
                    </w:rPr>
                    <m:t>01</m:t>
                  </m:r>
                </m:sub>
              </m:sSub>
            </m:oMath>
            <w:r>
              <w:rPr>
                <w:rFonts w:cs="Times New Roman"/>
              </w:rPr>
              <w:t>：回归失效</w:t>
            </w:r>
          </w:p>
        </w:tc>
      </w:tr>
      <w:tr w:rsidR="00083274" w14:paraId="1CD7EE79" w14:textId="77777777">
        <w:trPr>
          <w:cantSplit/>
          <w:jc w:val="center"/>
        </w:trPr>
        <w:tc>
          <w:tcPr>
            <w:tcW w:w="2324" w:type="dxa"/>
            <w:tcMar>
              <w:top w:w="90" w:type="dxa"/>
              <w:left w:w="85" w:type="dxa"/>
              <w:bottom w:w="90" w:type="dxa"/>
              <w:right w:w="85" w:type="dxa"/>
            </w:tcMar>
            <w:vAlign w:val="center"/>
          </w:tcPr>
          <w:p w14:paraId="6532FA4E" w14:textId="77777777" w:rsidR="00083274" w:rsidRDefault="00CD44F7">
            <w:pPr>
              <w:keepLines/>
              <w:spacing w:after="0" w:line="348" w:lineRule="exact"/>
              <w:ind w:firstLine="0"/>
              <w:jc w:val="left"/>
            </w:pPr>
            <w:r>
              <w:rPr>
                <w:rFonts w:cs="Times New Roman"/>
              </w:rPr>
              <w:t>失效</w:t>
            </w:r>
            <w:r>
              <w:rPr>
                <w:rFonts w:cs="Times New Roman"/>
              </w:rPr>
              <w:t xml:space="preserve"> a=1</w:t>
            </w:r>
          </w:p>
        </w:tc>
        <w:tc>
          <w:tcPr>
            <w:tcW w:w="3288" w:type="dxa"/>
            <w:tcMar>
              <w:top w:w="90" w:type="dxa"/>
              <w:left w:w="85" w:type="dxa"/>
              <w:bottom w:w="90" w:type="dxa"/>
              <w:right w:w="85" w:type="dxa"/>
            </w:tcMar>
            <w:vAlign w:val="center"/>
          </w:tcPr>
          <w:p w14:paraId="6FB9805D" w14:textId="77777777" w:rsidR="00083274" w:rsidRDefault="00CD44F7">
            <w:pPr>
              <w:keepLines/>
              <w:spacing w:after="0" w:line="348" w:lineRule="exact"/>
              <w:ind w:firstLine="0"/>
              <w:jc w:val="left"/>
            </w:pPr>
            <m:oMath>
              <m:sSub>
                <m:sSubPr>
                  <m:ctrlPr>
                    <w:rPr>
                      <w:rFonts w:ascii="Cambria Math" w:hAnsi="Cambria Math"/>
                    </w:rPr>
                  </m:ctrlPr>
                </m:sSubPr>
                <m:e>
                  <m:r>
                    <w:rPr>
                      <w:rFonts w:ascii="Cambria Math" w:hAnsi="Cambria Math"/>
                    </w:rPr>
                    <m:t>n</m:t>
                  </m:r>
                </m:e>
                <m:sub>
                  <m:r>
                    <w:rPr>
                      <w:rFonts w:ascii="Cambria Math" w:hAnsi="Cambria Math"/>
                    </w:rPr>
                    <m:t>10</m:t>
                  </m:r>
                </m:sub>
              </m:sSub>
            </m:oMath>
            <w:r>
              <w:rPr>
                <w:rFonts w:cs="Times New Roman"/>
              </w:rPr>
              <w:t>：失效解除</w:t>
            </w:r>
          </w:p>
        </w:tc>
        <w:tc>
          <w:tcPr>
            <w:tcW w:w="3288" w:type="dxa"/>
            <w:tcMar>
              <w:top w:w="90" w:type="dxa"/>
              <w:left w:w="85" w:type="dxa"/>
              <w:bottom w:w="90" w:type="dxa"/>
              <w:right w:w="85" w:type="dxa"/>
            </w:tcMar>
            <w:vAlign w:val="center"/>
          </w:tcPr>
          <w:p w14:paraId="3A7E5D8E" w14:textId="77777777" w:rsidR="00083274" w:rsidRDefault="00CD44F7">
            <w:pPr>
              <w:keepLines/>
              <w:spacing w:after="0" w:line="348" w:lineRule="exact"/>
              <w:ind w:firstLine="0"/>
              <w:jc w:val="left"/>
            </w:pPr>
            <m:oMath>
              <m:sSub>
                <m:sSubPr>
                  <m:ctrlPr>
                    <w:rPr>
                      <w:rFonts w:ascii="Cambria Math" w:hAnsi="Cambria Math"/>
                    </w:rPr>
                  </m:ctrlPr>
                </m:sSubPr>
                <m:e>
                  <m:r>
                    <w:rPr>
                      <w:rFonts w:ascii="Cambria Math" w:hAnsi="Cambria Math"/>
                    </w:rPr>
                    <m:t>n</m:t>
                  </m:r>
                </m:e>
                <m:sub>
                  <m:r>
                    <w:rPr>
                      <w:rFonts w:ascii="Cambria Math" w:hAnsi="Cambria Math"/>
                    </w:rPr>
                    <m:t>11</m:t>
                  </m:r>
                </m:sub>
              </m:sSub>
            </m:oMath>
            <w:r>
              <w:rPr>
                <w:rFonts w:cs="Times New Roman"/>
              </w:rPr>
              <w:t>：持续失效</w:t>
            </w:r>
          </w:p>
        </w:tc>
      </w:tr>
    </w:tbl>
    <w:p w14:paraId="22E4624A" w14:textId="77777777" w:rsidR="00083274" w:rsidRDefault="00083274">
      <w:pPr>
        <w:spacing w:after="40" w:line="60" w:lineRule="exact"/>
        <w:ind w:firstLine="0"/>
      </w:pPr>
    </w:p>
    <w:p w14:paraId="2E9B6B8E" w14:textId="77777777" w:rsidR="00083274" w:rsidRDefault="00CD44F7">
      <w:r>
        <w:rPr>
          <w:rFonts w:cs="Times New Roman"/>
        </w:rPr>
        <w:t>计数按本轮基准实际标签确定。一个局部邻域的两个端点分别在两个版本执行通常对应四次运行；表</w:t>
      </w:r>
      <w:r>
        <w:rPr>
          <w:rFonts w:cs="Times New Roman"/>
        </w:rPr>
        <w:t>2</w:t>
      </w:r>
      <w:r>
        <w:rPr>
          <w:rFonts w:cs="Times New Roman"/>
        </w:rPr>
        <w:t>的四类则是每个有效配对项可能出现的四种结果，两者分别管理。</w:t>
      </w:r>
    </w:p>
    <w:p w14:paraId="1B79E2AE" w14:textId="77777777" w:rsidR="00083274" w:rsidRDefault="00CD44F7">
      <w:pPr>
        <w:pStyle w:val="21"/>
        <w:keepLines w:val="0"/>
      </w:pPr>
      <w:r>
        <w:rPr>
          <w:rFonts w:cs="Times New Roman"/>
        </w:rPr>
        <w:lastRenderedPageBreak/>
        <w:t xml:space="preserve">5.7 </w:t>
      </w:r>
      <w:r>
        <w:rPr>
          <w:rFonts w:cs="Times New Roman"/>
        </w:rPr>
        <w:t>分组归一化与非负反馈</w:t>
      </w:r>
    </w:p>
    <w:p w14:paraId="2DF9FA9D" w14:textId="77777777" w:rsidR="00083274" w:rsidRDefault="00CD44F7">
      <w:pPr>
        <w:keepNext/>
      </w:pPr>
      <w:r>
        <w:rPr>
          <w:rFonts w:cs="Times New Roman"/>
        </w:rPr>
        <w:t>优选实施方式分别计算持续失效比例</w:t>
      </w:r>
      <m:oMath>
        <m:sSub>
          <m:sSubPr>
            <m:ctrlPr>
              <w:rPr>
                <w:rFonts w:ascii="Cambria Math" w:hAnsi="Cambria Math"/>
              </w:rPr>
            </m:ctrlPr>
          </m:sSubPr>
          <m:e>
            <m:r>
              <w:rPr>
                <w:rFonts w:ascii="Cambria Math" w:hAnsi="Cambria Math"/>
              </w:rPr>
              <m:t>p</m:t>
            </m:r>
          </m:e>
          <m:sub>
            <m:r>
              <w:rPr>
                <w:rFonts w:ascii="Cambria Math" w:hAnsi="Cambria Math"/>
              </w:rPr>
              <m:t>F</m:t>
            </m:r>
            <m:r>
              <w:rPr>
                <w:rFonts w:ascii="Cambria Math" w:hAnsi="Cambria Math"/>
              </w:rPr>
              <m:t>,</m:t>
            </m:r>
            <m:r>
              <w:rPr>
                <w:rFonts w:ascii="Cambria Math" w:hAnsi="Cambria Math"/>
              </w:rPr>
              <m:t>g</m:t>
            </m:r>
          </m:sub>
        </m:sSub>
      </m:oMath>
      <w:r>
        <w:rPr>
          <w:rFonts w:cs="Times New Roman"/>
        </w:rPr>
        <w:t>和回归失效比例</w:t>
      </w:r>
      <m:oMath>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m:t>
            </m:r>
            <m:r>
              <w:rPr>
                <w:rFonts w:ascii="Cambria Math" w:hAnsi="Cambria Math"/>
              </w:rPr>
              <m:t>g</m:t>
            </m:r>
          </m:sub>
        </m:sSub>
      </m:oMath>
      <w:r>
        <w:rPr>
          <w:rFonts w:cs="Times New Roman"/>
        </w:rPr>
        <w:t>。前者仅在本轮基准失效组非空时计算，后者仅在本轮基准成功组非空时计算：</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161EA410" w14:textId="77777777">
        <w:trPr>
          <w:cantSplit/>
          <w:jc w:val="center"/>
        </w:trPr>
        <w:tc>
          <w:tcPr>
            <w:tcW w:w="198" w:type="dxa"/>
            <w:tcMar>
              <w:top w:w="0" w:type="dxa"/>
              <w:left w:w="0" w:type="dxa"/>
              <w:bottom w:w="0" w:type="dxa"/>
              <w:right w:w="0" w:type="dxa"/>
            </w:tcMar>
            <w:vAlign w:val="center"/>
          </w:tcPr>
          <w:p w14:paraId="6A1024DC"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0863053C"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p</m:t>
                    </m:r>
                  </m:e>
                  <m:sub>
                    <m:r>
                      <w:rPr>
                        <w:rFonts w:ascii="Cambria Math" w:hAnsi="Cambria Math"/>
                      </w:rPr>
                      <m:t>F</m:t>
                    </m:r>
                    <m:r>
                      <w:rPr>
                        <w:rFonts w:ascii="Cambria Math" w:hAnsi="Cambria Math"/>
                      </w:rPr>
                      <m:t>,</m:t>
                    </m:r>
                    <m:r>
                      <w:rPr>
                        <w:rFonts w:ascii="Cambria Math" w:hAnsi="Cambria Math"/>
                      </w:rPr>
                      <m:t>g</m:t>
                    </m:r>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11</m:t>
                            </m:r>
                          </m:sub>
                        </m:sSub>
                      </m:e>
                      <m:sup>
                        <m:r>
                          <w:rPr>
                            <w:rFonts w:ascii="Cambria Math" w:hAnsi="Cambria Math"/>
                          </w:rPr>
                          <m:t>g</m:t>
                        </m:r>
                      </m:sup>
                    </m:sSup>
                  </m:num>
                  <m:den>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11</m:t>
                            </m:r>
                          </m:sub>
                        </m:sSub>
                      </m:e>
                      <m:sup>
                        <m:r>
                          <w:rPr>
                            <w:rFonts w:ascii="Cambria Math" w:hAnsi="Cambria Math"/>
                          </w:rPr>
                          <m:t>g</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10</m:t>
                            </m:r>
                          </m:sub>
                        </m:sSub>
                      </m:e>
                      <m:sup>
                        <m:r>
                          <w:rPr>
                            <w:rFonts w:ascii="Cambria Math" w:hAnsi="Cambria Math"/>
                          </w:rPr>
                          <m:t>g</m:t>
                        </m:r>
                      </m:sup>
                    </m:sSup>
                  </m:den>
                </m:f>
              </m:oMath>
            </m:oMathPara>
          </w:p>
        </w:tc>
        <w:tc>
          <w:tcPr>
            <w:tcW w:w="680" w:type="dxa"/>
            <w:tcMar>
              <w:top w:w="0" w:type="dxa"/>
              <w:left w:w="0" w:type="dxa"/>
              <w:bottom w:w="0" w:type="dxa"/>
              <w:right w:w="0" w:type="dxa"/>
            </w:tcMar>
            <w:vAlign w:val="center"/>
          </w:tcPr>
          <w:p w14:paraId="59CC8532" w14:textId="77777777" w:rsidR="00083274" w:rsidRDefault="00CD44F7">
            <w:pPr>
              <w:keepNext/>
              <w:keepLines/>
              <w:spacing w:before="80" w:after="100" w:line="480" w:lineRule="atLeast"/>
              <w:ind w:firstLine="0"/>
              <w:jc w:val="right"/>
            </w:pPr>
            <w:r>
              <w:rPr>
                <w:rFonts w:cs="Times New Roman"/>
              </w:rPr>
              <w:t>(6)</w:t>
            </w:r>
          </w:p>
        </w:tc>
      </w:tr>
      <w:tr w:rsidR="00083274" w14:paraId="0884292A" w14:textId="77777777">
        <w:trPr>
          <w:cantSplit/>
          <w:jc w:val="center"/>
        </w:trPr>
        <w:tc>
          <w:tcPr>
            <w:tcW w:w="198" w:type="dxa"/>
            <w:tcMar>
              <w:top w:w="0" w:type="dxa"/>
              <w:left w:w="0" w:type="dxa"/>
              <w:bottom w:w="0" w:type="dxa"/>
              <w:right w:w="0" w:type="dxa"/>
            </w:tcMar>
            <w:vAlign w:val="center"/>
          </w:tcPr>
          <w:p w14:paraId="3088A592"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0544AEE1"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m:t>
                    </m:r>
                    <m:r>
                      <w:rPr>
                        <w:rFonts w:ascii="Cambria Math" w:hAnsi="Cambria Math"/>
                      </w:rPr>
                      <m:t>g</m:t>
                    </m:r>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01</m:t>
                            </m:r>
                          </m:sub>
                        </m:sSub>
                      </m:e>
                      <m:sup>
                        <m:r>
                          <w:rPr>
                            <w:rFonts w:ascii="Cambria Math" w:hAnsi="Cambria Math"/>
                          </w:rPr>
                          <m:t>g</m:t>
                        </m:r>
                      </m:sup>
                    </m:sSup>
                  </m:num>
                  <m:den>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00</m:t>
                            </m:r>
                          </m:sub>
                        </m:sSub>
                      </m:e>
                      <m:sup>
                        <m:r>
                          <w:rPr>
                            <w:rFonts w:ascii="Cambria Math" w:hAnsi="Cambria Math"/>
                          </w:rPr>
                          <m:t>g</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01</m:t>
                            </m:r>
                          </m:sub>
                        </m:sSub>
                      </m:e>
                      <m:sup>
                        <m:r>
                          <w:rPr>
                            <w:rFonts w:ascii="Cambria Math" w:hAnsi="Cambria Math"/>
                          </w:rPr>
                          <m:t>g</m:t>
                        </m:r>
                      </m:sup>
                    </m:sSup>
                  </m:den>
                </m:f>
              </m:oMath>
            </m:oMathPara>
          </w:p>
        </w:tc>
        <w:tc>
          <w:tcPr>
            <w:tcW w:w="680" w:type="dxa"/>
            <w:tcMar>
              <w:top w:w="0" w:type="dxa"/>
              <w:left w:w="0" w:type="dxa"/>
              <w:bottom w:w="0" w:type="dxa"/>
              <w:right w:w="0" w:type="dxa"/>
            </w:tcMar>
            <w:vAlign w:val="center"/>
          </w:tcPr>
          <w:p w14:paraId="36F5A33D" w14:textId="77777777" w:rsidR="00083274" w:rsidRDefault="00CD44F7">
            <w:pPr>
              <w:keepNext/>
              <w:keepLines/>
              <w:spacing w:before="80" w:after="100" w:line="480" w:lineRule="atLeast"/>
              <w:ind w:firstLine="0"/>
              <w:jc w:val="right"/>
            </w:pPr>
            <w:r>
              <w:rPr>
                <w:rFonts w:cs="Times New Roman"/>
              </w:rPr>
              <w:t>(7)</w:t>
            </w:r>
          </w:p>
        </w:tc>
      </w:tr>
    </w:tbl>
    <w:p w14:paraId="512BE71B" w14:textId="77777777" w:rsidR="00083274" w:rsidRDefault="00CD44F7">
      <w:pPr>
        <w:keepNext/>
      </w:pPr>
      <w:r>
        <w:rPr>
          <w:rFonts w:cs="Times New Roman"/>
        </w:rPr>
        <w:t>分别设置持续失效权重</w:t>
      </w:r>
      <m:oMath>
        <m:sSub>
          <m:sSubPr>
            <m:ctrlPr>
              <w:rPr>
                <w:rFonts w:ascii="Cambria Math" w:hAnsi="Cambria Math"/>
              </w:rPr>
            </m:ctrlPr>
          </m:sSubPr>
          <m:e>
            <m:r>
              <w:rPr>
                <w:rFonts w:ascii="Cambria Math" w:hAnsi="Cambria Math"/>
              </w:rPr>
              <m:t>w</m:t>
            </m:r>
          </m:e>
          <m:sub>
            <m:r>
              <w:rPr>
                <w:rFonts w:ascii="Cambria Math" w:hAnsi="Cambria Math"/>
              </w:rPr>
              <m:t>F</m:t>
            </m:r>
          </m:sub>
        </m:sSub>
      </m:oMath>
      <w:r>
        <w:rPr>
          <w:rFonts w:cs="Times New Roman"/>
        </w:rPr>
        <w:t>为</w:t>
      </w:r>
      <w:r>
        <w:rPr>
          <w:rFonts w:cs="Times New Roman"/>
        </w:rPr>
        <w:t>1</w:t>
      </w:r>
      <w:r>
        <w:rPr>
          <w:rFonts w:cs="Times New Roman"/>
        </w:rPr>
        <w:t>、回归失效权重</w:t>
      </w:r>
      <m:oMath>
        <m:sSub>
          <m:sSubPr>
            <m:ctrlPr>
              <w:rPr>
                <w:rFonts w:ascii="Cambria Math" w:hAnsi="Cambria Math"/>
              </w:rPr>
            </m:ctrlPr>
          </m:sSubPr>
          <m:e>
            <m:r>
              <w:rPr>
                <w:rFonts w:ascii="Cambria Math" w:hAnsi="Cambria Math"/>
              </w:rPr>
              <m:t>w</m:t>
            </m:r>
          </m:e>
          <m:sub>
            <m:r>
              <w:rPr>
                <w:rFonts w:ascii="Cambria Math" w:hAnsi="Cambria Math"/>
              </w:rPr>
              <m:t>S</m:t>
            </m:r>
          </m:sub>
        </m:sSub>
      </m:oMath>
      <w:r>
        <w:rPr>
          <w:rFonts w:cs="Times New Roman"/>
        </w:rPr>
        <w:t>为</w:t>
      </w:r>
      <m:oMath>
        <m:sSub>
          <m:sSubPr>
            <m:ctrlPr>
              <w:rPr>
                <w:rFonts w:ascii="Cambria Math" w:hAnsi="Cambria Math"/>
              </w:rPr>
            </m:ctrlPr>
          </m:sSubPr>
          <m:e>
            <m:r>
              <w:rPr>
                <w:rFonts w:ascii="Cambria Math" w:hAnsi="Cambria Math"/>
              </w:rPr>
              <m:t>λ</m:t>
            </m:r>
          </m:e>
          <m:sub>
            <m:r>
              <w:rPr>
                <w:rFonts w:ascii="Cambria Math" w:hAnsi="Cambria Math"/>
              </w:rPr>
              <m:t>r</m:t>
            </m:r>
          </m:sub>
        </m:sSub>
      </m:oMath>
      <w:r>
        <w:rPr>
          <w:rFonts w:cs="Times New Roman"/>
        </w:rPr>
        <w:t>，</w:t>
      </w:r>
      <m:oMath>
        <m:sSub>
          <m:sSubPr>
            <m:ctrlPr>
              <w:rPr>
                <w:rFonts w:ascii="Cambria Math" w:hAnsi="Cambria Math"/>
              </w:rPr>
            </m:ctrlPr>
          </m:sSubPr>
          <m:e>
            <m:r>
              <w:rPr>
                <w:rFonts w:ascii="Cambria Math" w:hAnsi="Cambria Math"/>
              </w:rPr>
              <m:t>λ</m:t>
            </m:r>
          </m:e>
          <m:sub>
            <m:r>
              <w:rPr>
                <w:rFonts w:ascii="Cambria Math" w:hAnsi="Cambria Math"/>
              </w:rPr>
              <m:t>r</m:t>
            </m:r>
          </m:sub>
        </m:sSub>
      </m:oMath>
      <w:r>
        <w:rPr>
          <w:rFonts w:cs="Times New Roman"/>
        </w:rPr>
        <w:t>为正数；需要提高回归检查优先级时取</w:t>
      </w:r>
      <m:oMath>
        <m:sSub>
          <m:sSubPr>
            <m:ctrlPr>
              <w:rPr>
                <w:rFonts w:ascii="Cambria Math" w:hAnsi="Cambria Math"/>
              </w:rPr>
            </m:ctrlPr>
          </m:sSubPr>
          <m:e>
            <m:r>
              <w:rPr>
                <w:rFonts w:ascii="Cambria Math" w:hAnsi="Cambria Math"/>
              </w:rPr>
              <m:t>λ</m:t>
            </m:r>
          </m:e>
          <m:sub>
            <m:r>
              <w:rPr>
                <w:rFonts w:ascii="Cambria Math" w:hAnsi="Cambria Math"/>
              </w:rPr>
              <m:t>r</m:t>
            </m:r>
          </m:sub>
        </m:sSub>
      </m:oMath>
      <w:r>
        <w:rPr>
          <w:rFonts w:cs="Times New Roman"/>
        </w:rPr>
        <w:t>大于</w:t>
      </w:r>
      <w:r>
        <w:rPr>
          <w:rFonts w:cs="Times New Roman"/>
        </w:rPr>
        <w:t>1</w:t>
      </w:r>
      <w:r>
        <w:rPr>
          <w:rFonts w:cs="Times New Roman"/>
        </w:rPr>
        <w:t>。设</w:t>
      </w:r>
      <m:oMath>
        <m:sSub>
          <m:sSubPr>
            <m:ctrlPr>
              <w:rPr>
                <w:rFonts w:ascii="Cambria Math" w:hAnsi="Cambria Math"/>
              </w:rPr>
            </m:ctrlPr>
          </m:sSubPr>
          <m:e>
            <m:r>
              <w:rPr>
                <w:rFonts w:ascii="Cambria Math" w:hAnsi="Cambria Math"/>
              </w:rPr>
              <m:t>J</m:t>
            </m:r>
          </m:e>
          <m:sub>
            <m:r>
              <w:rPr>
                <w:rFonts w:ascii="Cambria Math" w:hAnsi="Cambria Math"/>
              </w:rPr>
              <m:t>g</m:t>
            </m:r>
          </m:sub>
        </m:sSub>
      </m:oMath>
      <w:r>
        <w:rPr>
          <w:rFonts w:cs="Times New Roman"/>
        </w:rPr>
        <w:t>为分母非零的已观测类别集合，</w:t>
      </w:r>
      <m:oMath>
        <m:sSub>
          <m:sSubPr>
            <m:ctrlPr>
              <w:rPr>
                <w:rFonts w:ascii="Cambria Math" w:hAnsi="Cambria Math"/>
              </w:rPr>
            </m:ctrlPr>
          </m:sSubPr>
          <m:e>
            <m:r>
              <w:rPr>
                <w:rFonts w:ascii="Cambria Math" w:hAnsi="Cambria Math"/>
              </w:rPr>
              <m:t>ν</m:t>
            </m:r>
          </m:e>
          <m:sub>
            <m:r>
              <w:rPr>
                <w:rFonts w:ascii="Cambria Math" w:hAnsi="Cambria Math"/>
              </w:rPr>
              <m:t>g</m:t>
            </m:r>
          </m:sub>
        </m:sSub>
      </m:oMath>
      <w:r>
        <w:rPr>
          <w:rFonts w:cs="Times New Roman"/>
        </w:rPr>
        <w:t>为新发现区域标志，</w:t>
      </w:r>
      <m:oMath>
        <m:sSub>
          <m:sSubPr>
            <m:ctrlPr>
              <w:rPr>
                <w:rFonts w:ascii="Cambria Math" w:hAnsi="Cambria Math"/>
              </w:rPr>
            </m:ctrlPr>
          </m:sSubPr>
          <m:e>
            <m:r>
              <w:rPr>
                <w:rFonts w:ascii="Cambria Math" w:hAnsi="Cambria Math"/>
              </w:rPr>
              <m:t>λ</m:t>
            </m:r>
          </m:e>
          <m:sub>
            <m:r>
              <w:rPr>
                <w:rFonts w:ascii="Cambria Math" w:hAnsi="Cambria Math"/>
              </w:rPr>
              <m:t>ν</m:t>
            </m:r>
          </m:sub>
        </m:sSub>
      </m:oMath>
      <w:r>
        <w:rPr>
          <w:rFonts w:cs="Times New Roman"/>
        </w:rPr>
        <w:t>为非负的新区域权重，区域分数为：</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2D8FBADD" w14:textId="77777777">
        <w:trPr>
          <w:cantSplit/>
          <w:jc w:val="center"/>
        </w:trPr>
        <w:tc>
          <w:tcPr>
            <w:tcW w:w="198" w:type="dxa"/>
            <w:tcMar>
              <w:top w:w="0" w:type="dxa"/>
              <w:left w:w="0" w:type="dxa"/>
              <w:bottom w:w="0" w:type="dxa"/>
              <w:right w:w="0" w:type="dxa"/>
            </w:tcMar>
            <w:vAlign w:val="center"/>
          </w:tcPr>
          <w:p w14:paraId="1C4DCF27"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7010C48F"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ν</m:t>
                    </m:r>
                  </m:sub>
                </m:sSub>
                <m:sSub>
                  <m:sSubPr>
                    <m:ctrlPr>
                      <w:rPr>
                        <w:rFonts w:ascii="Cambria Math" w:hAnsi="Cambria Math"/>
                      </w:rPr>
                    </m:ctrlPr>
                  </m:sSubPr>
                  <m:e>
                    <m:r>
                      <w:rPr>
                        <w:rFonts w:ascii="Cambria Math" w:hAnsi="Cambria Math"/>
                      </w:rPr>
                      <m:t>ν</m:t>
                    </m:r>
                  </m:e>
                  <m:sub>
                    <m:r>
                      <w:rPr>
                        <w:rFonts w:ascii="Cambria Math" w:hAnsi="Cambria Math"/>
                      </w:rPr>
                      <m:t>g</m:t>
                    </m:r>
                  </m:sub>
                </m:sSub>
                <m:r>
                  <w:rPr>
                    <w:rFonts w:ascii="Cambria Math" w:hAnsi="Cambria Math"/>
                  </w:rPr>
                  <m:t>)</m:t>
                </m:r>
                <m:nary>
                  <m:naryPr>
                    <m:chr m:val="∑"/>
                    <m:limLoc m:val="subSup"/>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r>
                          <w:rPr>
                            <w:rFonts w:ascii="Cambria Math" w:hAnsi="Cambria Math"/>
                          </w:rPr>
                          <m:t>,</m:t>
                        </m:r>
                        <m:r>
                          <w:rPr>
                            <w:rFonts w:ascii="Cambria Math" w:hAnsi="Cambria Math"/>
                          </w:rPr>
                          <m:t>g</m:t>
                        </m:r>
                      </m:sub>
                    </m:sSub>
                  </m:e>
                </m:nary>
              </m:oMath>
            </m:oMathPara>
          </w:p>
        </w:tc>
        <w:tc>
          <w:tcPr>
            <w:tcW w:w="680" w:type="dxa"/>
            <w:tcMar>
              <w:top w:w="0" w:type="dxa"/>
              <w:left w:w="0" w:type="dxa"/>
              <w:bottom w:w="0" w:type="dxa"/>
              <w:right w:w="0" w:type="dxa"/>
            </w:tcMar>
            <w:vAlign w:val="center"/>
          </w:tcPr>
          <w:p w14:paraId="4E51A765" w14:textId="77777777" w:rsidR="00083274" w:rsidRDefault="00CD44F7">
            <w:pPr>
              <w:keepNext/>
              <w:keepLines/>
              <w:spacing w:before="80" w:after="100" w:line="480" w:lineRule="atLeast"/>
              <w:ind w:firstLine="0"/>
              <w:jc w:val="right"/>
            </w:pPr>
            <w:r>
              <w:rPr>
                <w:rFonts w:cs="Times New Roman"/>
              </w:rPr>
              <w:t>(8)</w:t>
            </w:r>
          </w:p>
        </w:tc>
      </w:tr>
    </w:tbl>
    <w:p w14:paraId="7E007CB5" w14:textId="77777777" w:rsidR="00083274" w:rsidRDefault="00CD44F7">
      <w:r>
        <w:rPr>
          <w:rFonts w:cs="Times New Roman"/>
        </w:rPr>
        <w:t>分母为零的类别记录为未观测，不向求和项填入虚构比例。两个类别均未观测时，本轮统计分数取零，同时保留未观测标记。新区域标志可省略，此时</w:t>
      </w:r>
      <m:oMath>
        <m:sSub>
          <m:sSubPr>
            <m:ctrlPr>
              <w:rPr>
                <w:rFonts w:ascii="Cambria Math" w:hAnsi="Cambria Math"/>
              </w:rPr>
            </m:ctrlPr>
          </m:sSubPr>
          <m:e>
            <m:r>
              <w:rPr>
                <w:rFonts w:ascii="Cambria Math" w:hAnsi="Cambria Math"/>
              </w:rPr>
              <m:t>λ</m:t>
            </m:r>
          </m:e>
          <m:sub>
            <m:r>
              <w:rPr>
                <w:rFonts w:ascii="Cambria Math" w:hAnsi="Cambria Math"/>
              </w:rPr>
              <m:t>ν</m:t>
            </m:r>
          </m:sub>
        </m:sSub>
      </m:oMath>
      <w:r>
        <w:rPr>
          <w:rFonts w:cs="Times New Roman"/>
        </w:rPr>
        <w:t>取零。已解除失效通过降低持续失效比例影响分数，不以负项抵扣其他实例的回归失效。</w:t>
      </w:r>
    </w:p>
    <w:p w14:paraId="73BD3671" w14:textId="77777777" w:rsidR="00083274" w:rsidRDefault="00CD44F7">
      <w:r>
        <w:rPr>
          <w:rFonts w:cs="Times New Roman"/>
        </w:rPr>
        <w:t>两类分别归一化，使增加基准成功实例时不会稀释持续失效项，增加基准失效实例时不会稀释回归项。比例描述所选区域档案中的当前配对结果，用于调度；区域内样本仍需按既定规则选择，以控制重复和过度集中。</w:t>
      </w:r>
    </w:p>
    <w:p w14:paraId="3CDE95A5" w14:textId="77777777" w:rsidR="00083274" w:rsidRDefault="00CD44F7">
      <w:pPr>
        <w:pStyle w:val="21"/>
        <w:keepLines w:val="0"/>
      </w:pPr>
      <w:r>
        <w:rPr>
          <w:rFonts w:cs="Times New Roman"/>
        </w:rPr>
        <w:t xml:space="preserve">5.8 </w:t>
      </w:r>
      <w:r>
        <w:rPr>
          <w:rFonts w:cs="Times New Roman"/>
        </w:rPr>
        <w:t>区域采样与有限补测</w:t>
      </w:r>
    </w:p>
    <w:p w14:paraId="421FB9E0" w14:textId="77777777" w:rsidR="00083274" w:rsidRDefault="00CD44F7">
      <w:pPr>
        <w:keepNext/>
      </w:pPr>
      <w:r>
        <w:rPr>
          <w:rFonts w:cs="Times New Roman"/>
        </w:rPr>
        <w:t>对具有可恢复成员的区域集合</w:t>
      </w:r>
      <w:r>
        <w:rPr>
          <w:rFonts w:cs="Times New Roman"/>
        </w:rPr>
        <w:t>G</w:t>
      </w:r>
      <w:r>
        <w:rPr>
          <w:rFonts w:cs="Times New Roman"/>
        </w:rPr>
        <w:t>设置正平滑量</w:t>
      </w:r>
      <w:r>
        <w:rPr>
          <w:rFonts w:cs="Times New Roman"/>
        </w:rPr>
        <w:t>δ</w:t>
      </w:r>
      <w:r>
        <w:rPr>
          <w:rFonts w:cs="Times New Roman"/>
        </w:rPr>
        <w:t>，计算区域采样概率或预算份额：</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5DAC9312" w14:textId="77777777">
        <w:trPr>
          <w:cantSplit/>
          <w:jc w:val="center"/>
        </w:trPr>
        <w:tc>
          <w:tcPr>
            <w:tcW w:w="198" w:type="dxa"/>
            <w:tcMar>
              <w:top w:w="0" w:type="dxa"/>
              <w:left w:w="0" w:type="dxa"/>
              <w:bottom w:w="0" w:type="dxa"/>
              <w:right w:w="0" w:type="dxa"/>
            </w:tcMar>
            <w:vAlign w:val="center"/>
          </w:tcPr>
          <w:p w14:paraId="562AA588"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3D1D4678" w14:textId="77777777" w:rsidR="00083274" w:rsidRDefault="00CD44F7">
            <w:pPr>
              <w:keepNext/>
              <w:keepLines/>
              <w:spacing w:before="80" w:after="100" w:line="480" w:lineRule="atLeast"/>
              <w:ind w:firstLine="0"/>
              <w:jc w:val="right"/>
            </w:pPr>
            <m:oMathPara>
              <m:oMathParaPr>
                <m:jc m:val="right"/>
              </m:oMathParaPr>
              <m:oMath>
                <m:r>
                  <w:rPr>
                    <w:rFonts w:ascii="Cambria Math" w:hAnsi="Cambria Math"/>
                  </w:rPr>
                  <m:t>P</m:t>
                </m:r>
                <m:r>
                  <w:rPr>
                    <w:rFonts w:ascii="Cambria Math" w:hAnsi="Cambria Math"/>
                  </w:rPr>
                  <m:t>(</m:t>
                </m:r>
                <m:r>
                  <w:rPr>
                    <w:rFonts w:ascii="Cambria Math" w:hAnsi="Cambria Math"/>
                  </w:rPr>
                  <m:t>g</m:t>
                </m:r>
                <m:r>
                  <w:rPr>
                    <w:rFonts w:ascii="Cambria Math" w:hAnsi="Cambria Math"/>
                  </w:rPr>
                  <m:t>)=</m:t>
                </m:r>
                <m:f>
                  <m:fPr>
                    <m:ctrlPr>
                      <w:rPr>
                        <w:rFonts w:ascii="Cambria Math" w:hAnsi="Cambria Math"/>
                      </w:rPr>
                    </m:ctrlPr>
                  </m:fPr>
                  <m:num>
                    <m: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num>
                  <m:den>
                    <m:r>
                      <w:rPr>
                        <w:rFonts w:ascii="Cambria Math" w:hAnsi="Cambria Math"/>
                      </w:rPr>
                      <m:t>|</m:t>
                    </m:r>
                    <m:r>
                      <w:rPr>
                        <w:rFonts w:ascii="Cambria Math" w:hAnsi="Cambria Math"/>
                      </w:rPr>
                      <m:t>G</m:t>
                    </m:r>
                    <m:r>
                      <w:rPr>
                        <w:rFonts w:ascii="Cambria Math" w:hAnsi="Cambria Math"/>
                      </w:rPr>
                      <m:t>|</m:t>
                    </m:r>
                    <m:r>
                      <w:rPr>
                        <w:rFonts w:ascii="Cambria Math" w:hAnsi="Cambria Math"/>
                      </w:rPr>
                      <m:t>δ</m:t>
                    </m:r>
                    <m:r>
                      <w:rPr>
                        <w:rFonts w:ascii="Cambria Math" w:hAnsi="Cambria Math"/>
                      </w:rPr>
                      <m:t>+</m:t>
                    </m:r>
                    <m:nary>
                      <m:naryPr>
                        <m:chr m:val="∑"/>
                        <m:limLoc m:val="subSup"/>
                        <m:supHide m:val="1"/>
                        <m:ctrlPr>
                          <w:rPr>
                            <w:rFonts w:ascii="Cambria Math" w:hAnsi="Cambria Math"/>
                          </w:rPr>
                        </m:ctrlPr>
                      </m:naryPr>
                      <m:sub>
                        <m:r>
                          <w:rPr>
                            <w:rFonts w:ascii="Cambria Math" w:hAnsi="Cambria Math"/>
                          </w:rPr>
                          <m:t>h∈</m:t>
                        </m:r>
                        <m:r>
                          <w:rPr>
                            <w:rFonts w:ascii="Cambria Math" w:hAnsi="Cambria Math"/>
                          </w:rPr>
                          <m:t>G</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den>
                </m:f>
              </m:oMath>
            </m:oMathPara>
          </w:p>
        </w:tc>
        <w:tc>
          <w:tcPr>
            <w:tcW w:w="680" w:type="dxa"/>
            <w:tcMar>
              <w:top w:w="0" w:type="dxa"/>
              <w:left w:w="0" w:type="dxa"/>
              <w:bottom w:w="0" w:type="dxa"/>
              <w:right w:w="0" w:type="dxa"/>
            </w:tcMar>
            <w:vAlign w:val="center"/>
          </w:tcPr>
          <w:p w14:paraId="2725514C" w14:textId="77777777" w:rsidR="00083274" w:rsidRDefault="00CD44F7">
            <w:pPr>
              <w:keepNext/>
              <w:keepLines/>
              <w:spacing w:before="80" w:after="100" w:line="480" w:lineRule="atLeast"/>
              <w:ind w:firstLine="0"/>
              <w:jc w:val="right"/>
            </w:pPr>
            <w:r>
              <w:rPr>
                <w:rFonts w:cs="Times New Roman"/>
              </w:rPr>
              <w:t>(9)</w:t>
            </w:r>
          </w:p>
        </w:tc>
      </w:tr>
    </w:tbl>
    <w:p w14:paraId="4092F7CD" w14:textId="77777777" w:rsidR="00083274" w:rsidRDefault="00CD44F7">
      <w:r>
        <w:rPr>
          <w:rFonts w:cs="Times New Roman"/>
        </w:rPr>
        <w:t>正平滑为分数为零的已知区域保留机会。若所有区域均未取得可用反馈，式（</w:t>
      </w:r>
      <w:r>
        <w:rPr>
          <w:rFonts w:cs="Times New Roman"/>
        </w:rPr>
        <w:t>9</w:t>
      </w:r>
      <w:r>
        <w:rPr>
          <w:rFonts w:cs="Times New Roman"/>
        </w:rPr>
        <w:t>）给出均匀份额；没有区域时，从外部事件源建立初始集合。计算区域分数之前固定权重和成员规则，使排序对应明确的版本结果。</w:t>
      </w:r>
    </w:p>
    <w:p w14:paraId="61393A47" w14:textId="77777777" w:rsidR="00083274" w:rsidRDefault="00CD44F7">
      <w:r>
        <w:rPr>
          <w:rFonts w:cs="Times New Roman"/>
        </w:rPr>
        <w:t>每轮总预算预先分为已知区域测试、未观测类别有限补测和新事件探索三部分。先预留补测及探索预算，再将区域预算按式（</w:t>
      </w:r>
      <w:r>
        <w:rPr>
          <w:rFonts w:cs="Times New Roman"/>
        </w:rPr>
        <w:t>9</w:t>
      </w:r>
      <w:r>
        <w:rPr>
          <w:rFonts w:cs="Times New Roman"/>
        </w:rPr>
        <w:t>）分配。预算可用物理仿真步数或等效执行时长表示；采用整次数分配时，以余数排序等预定规则处理取整。</w:t>
      </w:r>
    </w:p>
    <w:p w14:paraId="6B7DA895" w14:textId="77777777" w:rsidR="00083274" w:rsidRDefault="00CD44F7">
      <w:r>
        <w:rPr>
          <w:rFonts w:cs="Times New Roman"/>
        </w:rPr>
        <w:t>未观测类别的补测优先恢复同一区域尚未纳入的历史实例，或围绕已有端点构造新候选，在基准策略下寻找该类别。确认候选及其区域归属后，再进行版本配对。每</w:t>
      </w:r>
      <w:r>
        <w:rPr>
          <w:rFonts w:cs="Times New Roman"/>
        </w:rPr>
        <w:lastRenderedPageBreak/>
        <w:t>个区域设补测上限；未找到目标类别时保留未观测状态，不无限搜索。补测结果计入单独冻结的追加批次，或在下一轮集合中使用。</w:t>
      </w:r>
    </w:p>
    <w:p w14:paraId="4EB94075" w14:textId="77777777" w:rsidR="00083274" w:rsidRDefault="00CD44F7">
      <w:r>
        <w:rPr>
          <w:rFonts w:cs="Times New Roman"/>
        </w:rPr>
        <w:t>新事件探索从未纳入档案的外部场景、道路条件或环境输入中取得实例，使用预留份额执行。补测用于完善已知区域的结果观察，新事件探索用于扩展已有邻域之外的测试条件，两者分别记录预算与来源，如图</w:t>
      </w:r>
      <w:r>
        <w:rPr>
          <w:rFonts w:cs="Times New Roman"/>
        </w:rPr>
        <w:t>4</w:t>
      </w:r>
      <w:r>
        <w:rPr>
          <w:rFonts w:cs="Times New Roman"/>
        </w:rPr>
        <w:t>所示。</w:t>
      </w:r>
    </w:p>
    <w:p w14:paraId="33EAAABC" w14:textId="77777777" w:rsidR="00083274" w:rsidRDefault="00CD44F7">
      <w:pPr>
        <w:pStyle w:val="21"/>
        <w:keepLines w:val="0"/>
      </w:pPr>
      <w:r>
        <w:rPr>
          <w:rFonts w:cs="Times New Roman"/>
        </w:rPr>
        <w:t xml:space="preserve">5.9 </w:t>
      </w:r>
      <w:r>
        <w:rPr>
          <w:rFonts w:cs="Times New Roman"/>
        </w:rPr>
        <w:t>调度结果到实际仿真调用</w:t>
      </w:r>
    </w:p>
    <w:p w14:paraId="4CA4CD28" w14:textId="77777777" w:rsidR="00083274" w:rsidRDefault="00CD44F7">
      <w:r>
        <w:rPr>
          <w:rFonts w:cs="Times New Roman"/>
        </w:rPr>
        <w:t>在待比较策略下，按区域份额选择区域，再在该区域选取持续失效、回归失效及关联邻点作为恢复或局部扩展的起点。区域内可以采用固定顺序、均匀选择、风险排序或已有搜索器；使用何种局部候选算法不改变上述区域反馈关系。</w:t>
      </w:r>
    </w:p>
    <w:p w14:paraId="695F4FB8" w14:textId="77777777" w:rsidR="00083274" w:rsidRDefault="00CD44F7">
      <w:r>
        <w:rPr>
          <w:rFonts w:cs="Times New Roman"/>
        </w:rPr>
        <w:t>执行控制模块将被选实例的事件和输入送入仿真器，按照剩余预算运行。新增有效失效直接进入档案，并可在同一新策略下构造成功邻点；成功实例保存其输入与关联信息。未完成执行不得按成功计数，剩余输入和状态可记录为待续任务。</w:t>
      </w:r>
    </w:p>
    <w:p w14:paraId="08823E08" w14:textId="77777777" w:rsidR="00083274" w:rsidRDefault="00CD44F7">
      <w:r>
        <w:rPr>
          <w:rFonts w:cs="Times New Roman"/>
        </w:rPr>
        <w:t>基准确认、版本重测、候选执行、邻点搜索和异常重试均扣减实际仿真消耗。区域预算用尽时停止对应调用；某区域无法继续产生有效候选时，按预定规则把未用份额转给其他可执行区域或新事件探索，并保存转移原因。</w:t>
      </w:r>
    </w:p>
    <w:p w14:paraId="079279DF" w14:textId="77777777" w:rsidR="00083274" w:rsidRDefault="00CD44F7">
      <w:pPr>
        <w:pStyle w:val="21"/>
        <w:keepLines w:val="0"/>
      </w:pPr>
      <w:r>
        <w:rPr>
          <w:rFonts w:cs="Times New Roman"/>
        </w:rPr>
        <w:t xml:space="preserve">5.10 </w:t>
      </w:r>
      <w:r>
        <w:rPr>
          <w:rFonts w:cs="Times New Roman"/>
        </w:rPr>
        <w:t>版本推进与外部策略更新</w:t>
      </w:r>
    </w:p>
    <w:p w14:paraId="195A25FF" w14:textId="77777777" w:rsidR="00083274" w:rsidRDefault="00CD44F7">
      <w:r>
        <w:rPr>
          <w:rFonts w:cs="Times New Roman"/>
        </w:rPr>
        <w:t>完成本轮后，将待比较策略作为后续基准，保存实例、邻域、区域集合版本、有效计数、未观测状态及预算记录。外部提供下一版本时重新执行基准确认与集合固定，而不沿用更早版本的结果标签。</w:t>
      </w:r>
    </w:p>
    <w:p w14:paraId="32707424" w14:textId="77777777" w:rsidR="00083274" w:rsidRDefault="00CD44F7">
      <w:r>
        <w:rPr>
          <w:rFonts w:cs="Times New Roman"/>
        </w:rPr>
        <w:t>可选训练接口向外部更新器输出原始失效、成功邻点和当前版本结果。更新器可采用监督学习、强化学习、规则修改或参数优化，并返回新策略标识；测试调度方法仅依赖可执行的新版本。独立评价集如另行设置，其结果用于输出评价报告，不参与本方法的自适应区域分配。</w:t>
      </w:r>
    </w:p>
    <w:p w14:paraId="1F244E04" w14:textId="77777777" w:rsidR="00083274" w:rsidRDefault="00CD44F7">
      <w:pPr>
        <w:pStyle w:val="1"/>
        <w:keepLines w:val="0"/>
      </w:pPr>
      <w:r>
        <w:rPr>
          <w:rFonts w:cs="Times New Roman"/>
        </w:rPr>
        <w:t xml:space="preserve">6 </w:t>
      </w:r>
      <w:r>
        <w:rPr>
          <w:rFonts w:cs="Times New Roman"/>
        </w:rPr>
        <w:t>关键技术特征与保护内容</w:t>
      </w:r>
    </w:p>
    <w:p w14:paraId="4ED1A720" w14:textId="77777777" w:rsidR="00083274" w:rsidRDefault="00CD44F7">
      <w:pPr>
        <w:pStyle w:val="21"/>
        <w:keepLines w:val="0"/>
      </w:pPr>
      <w:r>
        <w:rPr>
          <w:rFonts w:cs="Times New Roman"/>
        </w:rPr>
        <w:t xml:space="preserve">6.1 </w:t>
      </w:r>
      <w:r>
        <w:rPr>
          <w:rFonts w:cs="Times New Roman"/>
        </w:rPr>
        <w:t>主要技术关系</w:t>
      </w:r>
    </w:p>
    <w:p w14:paraId="5C054EE4" w14:textId="77777777" w:rsidR="00083274" w:rsidRDefault="00CD44F7">
      <w:r>
        <w:rPr>
          <w:rFonts w:cs="Times New Roman"/>
        </w:rPr>
        <w:t>建议保护的主要技术关系包括：取得可恢复的失效实例及在受控局部输入变化下、由同一发现策略版本实际确认的成功邻点，保存完整输入和邻域链接；按本轮基准策略确认各实例当前结果，确定并固定本轮区域成员；对每个实例在相同完整环境输入、配置和判据下执行待比较策略，形成有效版本配对；以当前基准失效组的有效配</w:t>
      </w:r>
      <w:r>
        <w:rPr>
          <w:rFonts w:cs="Times New Roman"/>
        </w:rPr>
        <w:lastRenderedPageBreak/>
        <w:t>对数量为分母归一化持续失效，以当前基准成功组的有效配对数量为分母归一化回归失效；将两类已观测反馈非负加权，确定区域资源份额，并在新策略下执行后续区域测试。</w:t>
      </w:r>
    </w:p>
    <w:p w14:paraId="52B0599E" w14:textId="77777777" w:rsidR="00083274" w:rsidRDefault="00CD44F7">
      <w:r>
        <w:rPr>
          <w:rFonts w:cs="Times New Roman"/>
        </w:rPr>
        <w:t>邻域链接使局部成功条件随失效档案一同进入后续版本测试，当前基准确认使其按实际状态参与分类，固定成员使两类反馈对应同一比较对象，区域分配进一步控制具体仿真调用。上述处理通过实例标识、邻域标识和区域集合版本连续衔接。</w:t>
      </w:r>
    </w:p>
    <w:p w14:paraId="526AE59A" w14:textId="77777777" w:rsidR="00083274" w:rsidRDefault="00CD44F7">
      <w:pPr>
        <w:pStyle w:val="21"/>
        <w:keepLines w:val="0"/>
      </w:pPr>
      <w:r>
        <w:rPr>
          <w:rFonts w:cs="Times New Roman"/>
        </w:rPr>
        <w:t xml:space="preserve">6.2 </w:t>
      </w:r>
      <w:r>
        <w:rPr>
          <w:rFonts w:cs="Times New Roman"/>
        </w:rPr>
        <w:t>可进一步限定的技术特征</w:t>
      </w:r>
    </w:p>
    <w:p w14:paraId="69F731AA" w14:textId="77777777" w:rsidR="00083274" w:rsidRDefault="00CD44F7">
      <w:r>
        <w:rPr>
          <w:rFonts w:cs="Times New Roman"/>
          <w:b/>
        </w:rPr>
        <w:t>（</w:t>
      </w:r>
      <w:r>
        <w:rPr>
          <w:rFonts w:cs="Times New Roman"/>
          <w:b/>
        </w:rPr>
        <w:t>1</w:t>
      </w:r>
      <w:r>
        <w:rPr>
          <w:rFonts w:cs="Times New Roman"/>
          <w:b/>
        </w:rPr>
        <w:t>）反馈权重与区域平滑。</w:t>
      </w:r>
      <w:r>
        <w:rPr>
          <w:rFonts w:cs="Times New Roman"/>
        </w:rPr>
        <w:t>以正权重组合两类已观测反馈，需要提高回归检查优先级时设置较高回归权重；已解除失效不直接抵扣回归项，并以正平滑保留各有效区域的测试份额。</w:t>
      </w:r>
    </w:p>
    <w:p w14:paraId="4B39361A" w14:textId="77777777" w:rsidR="00083274" w:rsidRDefault="00CD44F7">
      <w:r>
        <w:rPr>
          <w:rFonts w:cs="Times New Roman"/>
          <w:b/>
        </w:rPr>
        <w:t>（</w:t>
      </w:r>
      <w:r>
        <w:rPr>
          <w:rFonts w:cs="Times New Roman"/>
          <w:b/>
        </w:rPr>
        <w:t>2</w:t>
      </w:r>
      <w:r>
        <w:rPr>
          <w:rFonts w:cs="Times New Roman"/>
          <w:b/>
        </w:rPr>
        <w:t>）受控邻域构造。</w:t>
      </w:r>
      <w:r>
        <w:rPr>
          <w:rFonts w:cs="Times New Roman"/>
        </w:rPr>
        <w:t>固定事件、非选中输入和离散机动，在选中连续坐标的允许范围内实际寻找成功端点；按执行结果替换中间候选对应端点，并保存原失效及最终链接。</w:t>
      </w:r>
    </w:p>
    <w:p w14:paraId="6CDD5A23" w14:textId="77777777" w:rsidR="00083274" w:rsidRDefault="00CD44F7">
      <w:r>
        <w:rPr>
          <w:rFonts w:cs="Times New Roman"/>
          <w:b/>
        </w:rPr>
        <w:t>（</w:t>
      </w:r>
      <w:r>
        <w:rPr>
          <w:rFonts w:cs="Times New Roman"/>
          <w:b/>
        </w:rPr>
        <w:t>3</w:t>
      </w:r>
      <w:r>
        <w:rPr>
          <w:rFonts w:cs="Times New Roman"/>
          <w:b/>
        </w:rPr>
        <w:t>）输入对应与结果缓存。</w:t>
      </w:r>
      <w:r>
        <w:rPr>
          <w:rFonts w:cs="Times New Roman"/>
        </w:rPr>
        <w:t>以稳定逻辑索引恢复环境输入，固定策略随机流和配置；仅在版本、输入、配置与判据一致时复用基准结果。</w:t>
      </w:r>
    </w:p>
    <w:p w14:paraId="02D7D0A1" w14:textId="77777777" w:rsidR="00083274" w:rsidRDefault="00CD44F7">
      <w:r>
        <w:rPr>
          <w:rFonts w:cs="Times New Roman"/>
          <w:b/>
        </w:rPr>
        <w:t>（</w:t>
      </w:r>
      <w:r>
        <w:rPr>
          <w:rFonts w:cs="Times New Roman"/>
          <w:b/>
        </w:rPr>
        <w:t>4</w:t>
      </w:r>
      <w:r>
        <w:rPr>
          <w:rFonts w:cs="Times New Roman"/>
          <w:b/>
        </w:rPr>
        <w:t>）当前标签及唯一归属。</w:t>
      </w:r>
      <w:r>
        <w:rPr>
          <w:rFonts w:cs="Times New Roman"/>
        </w:rPr>
        <w:t>以本轮基准执行结果代替历史来源标签，比较前冻结成员和区域；多重链接实例按唯一主区域计数。</w:t>
      </w:r>
    </w:p>
    <w:p w14:paraId="2C6B50C9" w14:textId="77777777" w:rsidR="00083274" w:rsidRDefault="00CD44F7">
      <w:r>
        <w:rPr>
          <w:rFonts w:cs="Times New Roman"/>
          <w:b/>
        </w:rPr>
        <w:t>（</w:t>
      </w:r>
      <w:r>
        <w:rPr>
          <w:rFonts w:cs="Times New Roman"/>
          <w:b/>
        </w:rPr>
        <w:t>5</w:t>
      </w:r>
      <w:r>
        <w:rPr>
          <w:rFonts w:cs="Times New Roman"/>
          <w:b/>
        </w:rPr>
        <w:t>）未观测处理与探索。</w:t>
      </w:r>
      <w:r>
        <w:rPr>
          <w:rFonts w:cs="Times New Roman"/>
        </w:rPr>
        <w:t>对零分母保留未观测状态，设置有限补测，采用正平滑为有效区域保留份额，并预留新事件探索资源。</w:t>
      </w:r>
    </w:p>
    <w:p w14:paraId="2C06ED83" w14:textId="77777777" w:rsidR="00083274" w:rsidRDefault="00CD44F7">
      <w:r>
        <w:rPr>
          <w:rFonts w:cs="Times New Roman"/>
          <w:b/>
        </w:rPr>
        <w:t>（</w:t>
      </w:r>
      <w:r>
        <w:rPr>
          <w:rFonts w:cs="Times New Roman"/>
          <w:b/>
        </w:rPr>
        <w:t>6</w:t>
      </w:r>
      <w:r>
        <w:rPr>
          <w:rFonts w:cs="Times New Roman"/>
          <w:b/>
        </w:rPr>
        <w:t>）异常及预算执行。</w:t>
      </w:r>
      <w:r>
        <w:rPr>
          <w:rFonts w:cs="Times New Roman"/>
        </w:rPr>
        <w:t>仅将两次有效执行计入配对分母，异常按限额重试；所有仿真操作记录实际消耗，按剩余份额继续或停止执行。</w:t>
      </w:r>
    </w:p>
    <w:p w14:paraId="20D297CE" w14:textId="77777777" w:rsidR="00083274" w:rsidRDefault="00CD44F7">
      <w:pPr>
        <w:pStyle w:val="21"/>
        <w:keepLines w:val="0"/>
      </w:pPr>
      <w:r>
        <w:rPr>
          <w:rFonts w:cs="Times New Roman"/>
        </w:rPr>
        <w:t xml:space="preserve">6.3 </w:t>
      </w:r>
      <w:r>
        <w:rPr>
          <w:rFonts w:cs="Times New Roman"/>
        </w:rPr>
        <w:t>系统、设备与存储介质</w:t>
      </w:r>
    </w:p>
    <w:p w14:paraId="4A166BD0" w14:textId="77777777" w:rsidR="00083274" w:rsidRDefault="00CD44F7">
      <w:r>
        <w:rPr>
          <w:rFonts w:cs="Times New Roman"/>
        </w:rPr>
        <w:t>对应系统包括实例接入与恢复模块、局部邻域管理模块、基准确认与配对执行模块、区域结果统计模块、测试资源分配模块以及仿真执行模块。模块分别完成输入恢复和校验、邻域搜索与归档、当前标签确认、配对计数、反馈计算及具体仿真调用。</w:t>
      </w:r>
    </w:p>
    <w:p w14:paraId="5932EA52" w14:textId="77777777" w:rsidR="00083274" w:rsidRDefault="00CD44F7">
      <w:r>
        <w:rPr>
          <w:rFonts w:cs="Times New Roman"/>
        </w:rPr>
        <w:t>具有处理器和存储器的计算设备执行相应程序指令即可实施本方法；计算机可读存储介质可存储执行上述步骤的程序。外部场景库、仿真器和策略更新器通过输入及结果接口连接，不要求采用特定交通生成结构或策略训练算法。</w:t>
      </w:r>
    </w:p>
    <w:p w14:paraId="11542AE0" w14:textId="77777777" w:rsidR="00083274" w:rsidRDefault="00CD44F7">
      <w:pPr>
        <w:pStyle w:val="1"/>
        <w:keepLines w:val="0"/>
      </w:pPr>
      <w:r>
        <w:rPr>
          <w:rFonts w:cs="Times New Roman"/>
        </w:rPr>
        <w:lastRenderedPageBreak/>
        <w:t xml:space="preserve">7 </w:t>
      </w:r>
      <w:r>
        <w:rPr>
          <w:rFonts w:cs="Times New Roman"/>
        </w:rPr>
        <w:t>有益效果</w:t>
      </w:r>
    </w:p>
    <w:p w14:paraId="64FD9A1B" w14:textId="77777777" w:rsidR="00083274" w:rsidRDefault="00CD44F7">
      <w:pPr>
        <w:pStyle w:val="21"/>
        <w:keepLines w:val="0"/>
      </w:pPr>
      <w:r>
        <w:rPr>
          <w:rFonts w:cs="Times New Roman"/>
        </w:rPr>
        <w:t xml:space="preserve">7.1 </w:t>
      </w:r>
      <w:r>
        <w:rPr>
          <w:rFonts w:cs="Times New Roman"/>
        </w:rPr>
        <w:t>一次局部搜索形成后续回归检查入口</w:t>
      </w:r>
    </w:p>
    <w:p w14:paraId="700DE9A1" w14:textId="77777777" w:rsidR="00083274" w:rsidRDefault="00CD44F7">
      <w:r>
        <w:rPr>
          <w:rFonts w:cs="Times New Roman"/>
        </w:rPr>
        <w:t>失效与成功邻点分别保存完整输入并保持链接，能够在后续版本直接恢复同一局部条件。旧问题的检查与邻近成功条件的保持检查共用已形成的数据关系，减少重新构造对照实例和核对输入来源的操作。</w:t>
      </w:r>
    </w:p>
    <w:p w14:paraId="60C8ADF0" w14:textId="77777777" w:rsidR="00083274" w:rsidRDefault="00CD44F7">
      <w:pPr>
        <w:pStyle w:val="21"/>
        <w:keepLines w:val="0"/>
      </w:pPr>
      <w:r>
        <w:rPr>
          <w:rFonts w:cs="Times New Roman"/>
        </w:rPr>
        <w:t xml:space="preserve">7.2 </w:t>
      </w:r>
      <w:r>
        <w:rPr>
          <w:rFonts w:cs="Times New Roman"/>
        </w:rPr>
        <w:t>区域反馈同时保留未解决问题和新增回归</w:t>
      </w:r>
    </w:p>
    <w:p w14:paraId="0DC5B21F" w14:textId="77777777" w:rsidR="00083274" w:rsidRDefault="00CD44F7">
      <w:r>
        <w:rPr>
          <w:rFonts w:cs="Times New Roman"/>
        </w:rPr>
        <w:t>持续失效和回归失效分别进入调度分数，前者保留两个版本共同失败的测试需求，后者保留新增退化的测试需求。两类采用各自分母时，其相对作用由预设权重决定，不再由两类样本数量比隐式决定；总失效数相同的两个版本仍可产生明确的回归反馈。</w:t>
      </w:r>
    </w:p>
    <w:p w14:paraId="744F123F" w14:textId="77777777" w:rsidR="00083274" w:rsidRDefault="00CD44F7">
      <w:pPr>
        <w:pStyle w:val="21"/>
        <w:keepLines w:val="0"/>
      </w:pPr>
      <w:r>
        <w:rPr>
          <w:rFonts w:cs="Times New Roman"/>
        </w:rPr>
        <w:t xml:space="preserve">7.3 </w:t>
      </w:r>
      <w:r>
        <w:rPr>
          <w:rFonts w:cs="Times New Roman"/>
        </w:rPr>
        <w:t>版本差异具有可恢复的输入和统计依据</w:t>
      </w:r>
    </w:p>
    <w:p w14:paraId="187BE390" w14:textId="77777777" w:rsidR="00083274" w:rsidRDefault="00CD44F7">
      <w:r>
        <w:rPr>
          <w:rFonts w:cs="Times New Roman"/>
        </w:rPr>
        <w:t>当前基准确认避免历史标签过期，固定区域成员避免成员变化混入结果变化，稳定输入索引使对应扰动不受交互分支调用顺序影响。每项反馈均可追溯至实例、输入、策略版本、区域集合及实际结果，同时保留策略改变引起的交通响应。</w:t>
      </w:r>
    </w:p>
    <w:p w14:paraId="63D5DBB5" w14:textId="77777777" w:rsidR="00083274" w:rsidRDefault="00CD44F7">
      <w:pPr>
        <w:pStyle w:val="21"/>
        <w:keepLines w:val="0"/>
      </w:pPr>
      <w:r>
        <w:rPr>
          <w:rFonts w:cs="Times New Roman"/>
        </w:rPr>
        <w:t xml:space="preserve">7.4 </w:t>
      </w:r>
      <w:r>
        <w:rPr>
          <w:rFonts w:cs="Times New Roman"/>
        </w:rPr>
        <w:t>反馈直接约束后续仿真资源</w:t>
      </w:r>
    </w:p>
    <w:p w14:paraId="1E5AAB23" w14:textId="77777777" w:rsidR="00083274" w:rsidRDefault="00CD44F7">
      <w:r>
        <w:rPr>
          <w:rFonts w:cs="Times New Roman"/>
        </w:rPr>
        <w:t>区域份额用于实际仿真调用，补测、重试和邻点构造均计入预算。有限补测处理尚未观察的类别，正平滑和新事件预留分别维持已知区域与新增条件的机会，使结果统计能够持续转化为可执行的测试安排。</w:t>
      </w:r>
    </w:p>
    <w:p w14:paraId="17642546" w14:textId="77777777" w:rsidR="00083274" w:rsidRDefault="00CD44F7">
      <w:pPr>
        <w:pStyle w:val="1"/>
        <w:keepLines w:val="0"/>
      </w:pPr>
      <w:r>
        <w:rPr>
          <w:rFonts w:cs="Times New Roman"/>
        </w:rPr>
        <w:t xml:space="preserve">8 </w:t>
      </w:r>
      <w:r>
        <w:rPr>
          <w:rFonts w:cs="Times New Roman"/>
        </w:rPr>
        <w:t>具体实施例</w:t>
      </w:r>
    </w:p>
    <w:p w14:paraId="77F6B3CF" w14:textId="77777777" w:rsidR="00083274" w:rsidRDefault="00CD44F7">
      <w:pPr>
        <w:pStyle w:val="21"/>
        <w:keepLines w:val="0"/>
      </w:pPr>
      <w:r>
        <w:rPr>
          <w:rFonts w:cs="Times New Roman"/>
        </w:rPr>
        <w:t xml:space="preserve">8.1 </w:t>
      </w:r>
      <w:r>
        <w:rPr>
          <w:rFonts w:cs="Times New Roman"/>
        </w:rPr>
        <w:t>外部道路场景接入与邻域构造</w:t>
      </w:r>
    </w:p>
    <w:p w14:paraId="4E5D140B" w14:textId="77777777" w:rsidR="00083274" w:rsidRDefault="00CD44F7">
      <w:r>
        <w:rPr>
          <w:rFonts w:cs="Times New Roman"/>
        </w:rPr>
        <w:t>本实施例接入外部提供的双车道切入场景和交互式交通仿真器。场景包含主车、同车道前车及相邻车道车辆，仿真步长为</w:t>
      </w:r>
      <w:r>
        <w:rPr>
          <w:rFonts w:cs="Times New Roman"/>
        </w:rPr>
        <w:t>0.1</w:t>
      </w:r>
      <w:r>
        <w:rPr>
          <w:rFonts w:cs="Times New Roman"/>
        </w:rPr>
        <w:t>秒，单次最长执行</w:t>
      </w:r>
      <w:r>
        <w:rPr>
          <w:rFonts w:cs="Times New Roman"/>
        </w:rPr>
        <w:t>12</w:t>
      </w:r>
      <w:r>
        <w:rPr>
          <w:rFonts w:cs="Times New Roman"/>
        </w:rPr>
        <w:t>秒，碰撞判为失效。输入由道路和初始状态、车辆驾驶员参数、切入参数及按车辆和时间索引的扰动数组组成。</w:t>
      </w:r>
    </w:p>
    <w:p w14:paraId="63D6CFF9" w14:textId="77777777" w:rsidR="00083274" w:rsidRDefault="00CD44F7">
      <w:r>
        <w:rPr>
          <w:rFonts w:cs="Times New Roman"/>
        </w:rPr>
        <w:t>设置切入启动时刻为可变连续坐标，允许范围为</w:t>
      </w:r>
      <w:r>
        <w:rPr>
          <w:rFonts w:cs="Times New Roman"/>
        </w:rPr>
        <w:t>1.5</w:t>
      </w:r>
      <w:r>
        <w:rPr>
          <w:rFonts w:cs="Times New Roman"/>
        </w:rPr>
        <w:t>至</w:t>
      </w:r>
      <w:r>
        <w:rPr>
          <w:rFonts w:cs="Times New Roman"/>
        </w:rPr>
        <w:t>3.0</w:t>
      </w:r>
      <w:r>
        <w:rPr>
          <w:rFonts w:cs="Times New Roman"/>
        </w:rPr>
        <w:t>秒，尺度</w:t>
      </w:r>
      <w:r>
        <w:rPr>
          <w:rFonts w:cs="Times New Roman"/>
        </w:rPr>
        <w:t>σ</w:t>
      </w:r>
      <w:r>
        <w:rPr>
          <w:rFonts w:cs="Times New Roman"/>
        </w:rPr>
        <w:t>取</w:t>
      </w:r>
      <w:r>
        <w:rPr>
          <w:rFonts w:cs="Times New Roman"/>
        </w:rPr>
        <w:t>1</w:t>
      </w:r>
      <w:r>
        <w:rPr>
          <w:rFonts w:cs="Times New Roman"/>
        </w:rPr>
        <w:t>秒；其他输入保持不变。邻点搜索最多执行</w:t>
      </w:r>
      <w:r>
        <w:rPr>
          <w:rFonts w:cs="Times New Roman"/>
        </w:rPr>
        <w:t>12</w:t>
      </w:r>
      <w:r>
        <w:rPr>
          <w:rFonts w:cs="Times New Roman"/>
        </w:rPr>
        <w:t>个候选，端点细化最多执行</w:t>
      </w:r>
      <w:r>
        <w:rPr>
          <w:rFonts w:cs="Times New Roman"/>
        </w:rPr>
        <w:t>6</w:t>
      </w:r>
      <w:r>
        <w:rPr>
          <w:rFonts w:cs="Times New Roman"/>
        </w:rPr>
        <w:t>个候选，距离阈值为</w:t>
      </w:r>
      <w:r>
        <w:rPr>
          <w:rFonts w:cs="Times New Roman"/>
        </w:rPr>
        <w:t>0.05</w:t>
      </w:r>
      <w:r>
        <w:rPr>
          <w:rFonts w:cs="Times New Roman"/>
        </w:rPr>
        <w:t>。以下给出的执行结果用于说明处理步骤和计算方式。</w:t>
      </w:r>
    </w:p>
    <w:p w14:paraId="42F56577" w14:textId="77777777" w:rsidR="00083274" w:rsidRDefault="00CD44F7">
      <w:r>
        <w:rPr>
          <w:rFonts w:cs="Times New Roman"/>
        </w:rPr>
        <w:t>假设基准策略在启动时刻</w:t>
      </w:r>
      <w:r>
        <w:rPr>
          <w:rFonts w:cs="Times New Roman"/>
        </w:rPr>
        <w:t>2.0</w:t>
      </w:r>
      <w:r>
        <w:rPr>
          <w:rFonts w:cs="Times New Roman"/>
        </w:rPr>
        <w:t>秒的实例中碰撞，在</w:t>
      </w:r>
      <w:r>
        <w:rPr>
          <w:rFonts w:cs="Times New Roman"/>
        </w:rPr>
        <w:t>2.8</w:t>
      </w:r>
      <w:r>
        <w:rPr>
          <w:rFonts w:cs="Times New Roman"/>
        </w:rPr>
        <w:t>秒的实例中成功。先保存原失效及成功端点，再执行中点</w:t>
      </w:r>
      <w:r>
        <w:rPr>
          <w:rFonts w:cs="Times New Roman"/>
        </w:rPr>
        <w:t>2.4</w:t>
      </w:r>
      <w:r>
        <w:rPr>
          <w:rFonts w:cs="Times New Roman"/>
        </w:rPr>
        <w:t>秒；若该中点成功，则成功端点替换为</w:t>
      </w:r>
      <w:r>
        <w:rPr>
          <w:rFonts w:cs="Times New Roman"/>
        </w:rPr>
        <w:t>2.4</w:t>
      </w:r>
      <w:r>
        <w:rPr>
          <w:rFonts w:cs="Times New Roman"/>
        </w:rPr>
        <w:t>秒。</w:t>
      </w:r>
      <w:r>
        <w:rPr>
          <w:rFonts w:cs="Times New Roman"/>
        </w:rPr>
        <w:lastRenderedPageBreak/>
        <w:t>随后执行</w:t>
      </w:r>
      <w:r>
        <w:rPr>
          <w:rFonts w:cs="Times New Roman"/>
        </w:rPr>
        <w:t>2.2</w:t>
      </w:r>
      <w:r>
        <w:rPr>
          <w:rFonts w:cs="Times New Roman"/>
        </w:rPr>
        <w:t>秒；若其失效，则失效端点替换为</w:t>
      </w:r>
      <w:r>
        <w:rPr>
          <w:rFonts w:cs="Times New Roman"/>
        </w:rPr>
        <w:t>2.2</w:t>
      </w:r>
      <w:r>
        <w:rPr>
          <w:rFonts w:cs="Times New Roman"/>
        </w:rPr>
        <w:t>秒。继续按实际结果替换，达到阈值或次数上限即保存最终端点。</w:t>
      </w:r>
    </w:p>
    <w:p w14:paraId="5B42502F" w14:textId="77777777" w:rsidR="00083274" w:rsidRDefault="00CD44F7">
      <w:r>
        <w:rPr>
          <w:rFonts w:cs="Times New Roman"/>
        </w:rPr>
        <w:t>链接中保存两端各自完整输入、固定坐标校验值、所选坐标、尺度和发现版本。下一轮使用外部交付的新策略重新执行这些输入，无需重新训练交通生成器，也无需取得驾驶策略的内部梯度。</w:t>
      </w:r>
    </w:p>
    <w:p w14:paraId="1A0AFFA1" w14:textId="77777777" w:rsidR="00083274" w:rsidRDefault="00CD44F7">
      <w:pPr>
        <w:pStyle w:val="21"/>
        <w:keepLines w:val="0"/>
      </w:pPr>
      <w:r>
        <w:rPr>
          <w:rFonts w:cs="Times New Roman"/>
        </w:rPr>
        <w:t xml:space="preserve">8.2 </w:t>
      </w:r>
      <w:r>
        <w:rPr>
          <w:rFonts w:cs="Times New Roman"/>
        </w:rPr>
        <w:t>三个区域的反馈及预算计算</w:t>
      </w:r>
    </w:p>
    <w:p w14:paraId="32FD9430" w14:textId="77777777" w:rsidR="00083274" w:rsidRDefault="00CD44F7">
      <w:r>
        <w:rPr>
          <w:rFonts w:cs="Times New Roman"/>
        </w:rPr>
        <w:t>本实施例设三个经验区域，各选</w:t>
      </w:r>
      <w:r>
        <w:rPr>
          <w:rFonts w:cs="Times New Roman"/>
        </w:rPr>
        <w:t>20</w:t>
      </w:r>
      <w:r>
        <w:rPr>
          <w:rFonts w:cs="Times New Roman"/>
        </w:rPr>
        <w:t>个有效配对实例，本轮基准失效和成功实例各</w:t>
      </w:r>
      <w:r>
        <w:rPr>
          <w:rFonts w:cs="Times New Roman"/>
        </w:rPr>
        <w:t>10</w:t>
      </w:r>
      <w:r>
        <w:rPr>
          <w:rFonts w:cs="Times New Roman"/>
        </w:rPr>
        <w:t>个。取回归权重</w:t>
      </w:r>
      <m:oMath>
        <m:sSub>
          <m:sSubPr>
            <m:ctrlPr>
              <w:rPr>
                <w:rFonts w:ascii="Cambria Math" w:hAnsi="Cambria Math"/>
              </w:rPr>
            </m:ctrlPr>
          </m:sSubPr>
          <m:e>
            <m:r>
              <w:rPr>
                <w:rFonts w:ascii="Cambria Math" w:hAnsi="Cambria Math"/>
              </w:rPr>
              <m:t>λ</m:t>
            </m:r>
          </m:e>
          <m:sub>
            <m:r>
              <w:rPr>
                <w:rFonts w:ascii="Cambria Math" w:hAnsi="Cambria Math"/>
              </w:rPr>
              <m:t>r</m:t>
            </m:r>
          </m:sub>
        </m:sSub>
      </m:oMath>
      <w:r>
        <w:rPr>
          <w:rFonts w:cs="Times New Roman"/>
        </w:rPr>
        <w:t>为</w:t>
      </w:r>
      <w:r>
        <w:rPr>
          <w:rFonts w:cs="Times New Roman"/>
        </w:rPr>
        <w:t>2</w:t>
      </w:r>
      <w:r>
        <w:rPr>
          <w:rFonts w:cs="Times New Roman"/>
        </w:rPr>
        <w:t>、新区域权重</w:t>
      </w:r>
      <m:oMath>
        <m:sSub>
          <m:sSubPr>
            <m:ctrlPr>
              <w:rPr>
                <w:rFonts w:ascii="Cambria Math" w:hAnsi="Cambria Math"/>
              </w:rPr>
            </m:ctrlPr>
          </m:sSubPr>
          <m:e>
            <m:r>
              <w:rPr>
                <w:rFonts w:ascii="Cambria Math" w:hAnsi="Cambria Math"/>
              </w:rPr>
              <m:t>λ</m:t>
            </m:r>
          </m:e>
          <m:sub>
            <m:r>
              <w:rPr>
                <w:rFonts w:ascii="Cambria Math" w:hAnsi="Cambria Math"/>
              </w:rPr>
              <m:t>ν</m:t>
            </m:r>
          </m:sub>
        </m:sSub>
      </m:oMath>
      <w:r>
        <w:rPr>
          <w:rFonts w:cs="Times New Roman"/>
        </w:rPr>
        <w:t>为</w:t>
      </w:r>
      <w:r>
        <w:rPr>
          <w:rFonts w:cs="Times New Roman"/>
        </w:rPr>
        <w:t>0.5</w:t>
      </w:r>
      <w:r>
        <w:rPr>
          <w:rFonts w:cs="Times New Roman"/>
        </w:rPr>
        <w:t>、平滑量</w:t>
      </w:r>
      <w:r>
        <w:rPr>
          <w:rFonts w:cs="Times New Roman"/>
        </w:rPr>
        <w:t>δ</w:t>
      </w:r>
      <w:r>
        <w:rPr>
          <w:rFonts w:cs="Times New Roman"/>
        </w:rPr>
        <w:t>为</w:t>
      </w:r>
      <w:r>
        <w:rPr>
          <w:rFonts w:cs="Times New Roman"/>
        </w:rPr>
        <w:t>0.1</w:t>
      </w:r>
      <w:r>
        <w:rPr>
          <w:rFonts w:cs="Times New Roman"/>
        </w:rPr>
        <w:t>，区域</w:t>
      </w:r>
      <w:r>
        <w:rPr>
          <w:rFonts w:cs="Times New Roman"/>
        </w:rPr>
        <w:t>2</w:t>
      </w:r>
      <w:r>
        <w:rPr>
          <w:rFonts w:cs="Times New Roman"/>
        </w:rPr>
        <w:t>为新发现区域。表</w:t>
      </w:r>
      <w:r>
        <w:rPr>
          <w:rFonts w:cs="Times New Roman"/>
        </w:rPr>
        <w:t>3</w:t>
      </w:r>
      <w:r>
        <w:rPr>
          <w:rFonts w:cs="Times New Roman"/>
        </w:rPr>
        <w:t>给出用于说明调度计算的配对结果。</w:t>
      </w:r>
    </w:p>
    <w:p w14:paraId="452AC0F7" w14:textId="77777777" w:rsidR="00083274" w:rsidRDefault="00CD44F7">
      <w:pPr>
        <w:pStyle w:val="af7"/>
      </w:pPr>
      <w:r>
        <w:rPr>
          <w:rFonts w:cs="Times New Roman"/>
        </w:rPr>
        <w:t>表</w:t>
      </w:r>
      <w:r>
        <w:rPr>
          <w:rFonts w:cs="Times New Roman"/>
        </w:rPr>
        <w:t xml:space="preserve">3 </w:t>
      </w:r>
      <w:r>
        <w:rPr>
          <w:rFonts w:cs="Times New Roman"/>
        </w:rPr>
        <w:t>分组反馈与区域份额计算示例</w:t>
      </w:r>
    </w:p>
    <w:tbl>
      <w:tblPr>
        <w:tblW w:w="8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4"/>
        <w:gridCol w:w="2325"/>
        <w:gridCol w:w="2439"/>
        <w:gridCol w:w="1417"/>
        <w:gridCol w:w="1417"/>
      </w:tblGrid>
      <w:tr w:rsidR="00083274" w14:paraId="284510FA" w14:textId="77777777">
        <w:trPr>
          <w:cantSplit/>
          <w:tblHeader/>
          <w:jc w:val="center"/>
        </w:trPr>
        <w:tc>
          <w:tcPr>
            <w:tcW w:w="1304" w:type="dxa"/>
            <w:shd w:val="clear" w:color="auto" w:fill="FFFFFF"/>
            <w:tcMar>
              <w:top w:w="90" w:type="dxa"/>
              <w:left w:w="85" w:type="dxa"/>
              <w:bottom w:w="90" w:type="dxa"/>
              <w:right w:w="85" w:type="dxa"/>
            </w:tcMar>
            <w:vAlign w:val="center"/>
          </w:tcPr>
          <w:p w14:paraId="1439A12B" w14:textId="77777777" w:rsidR="00083274" w:rsidRDefault="00CD44F7">
            <w:pPr>
              <w:keepNext/>
              <w:keepLines/>
              <w:spacing w:after="0" w:line="348" w:lineRule="exact"/>
              <w:ind w:firstLine="0"/>
              <w:jc w:val="center"/>
            </w:pPr>
            <w:r>
              <w:rPr>
                <w:rFonts w:cs="Times New Roman"/>
                <w:b/>
              </w:rPr>
              <w:t>区域</w:t>
            </w:r>
          </w:p>
        </w:tc>
        <w:tc>
          <w:tcPr>
            <w:tcW w:w="2324" w:type="dxa"/>
            <w:shd w:val="clear" w:color="auto" w:fill="FFFFFF"/>
            <w:tcMar>
              <w:top w:w="90" w:type="dxa"/>
              <w:left w:w="85" w:type="dxa"/>
              <w:bottom w:w="90" w:type="dxa"/>
              <w:right w:w="85" w:type="dxa"/>
            </w:tcMar>
            <w:vAlign w:val="center"/>
          </w:tcPr>
          <w:p w14:paraId="01E8B582" w14:textId="77777777" w:rsidR="00083274" w:rsidRDefault="00CD44F7">
            <w:pPr>
              <w:keepNext/>
              <w:keepLines/>
              <w:spacing w:after="0" w:line="348" w:lineRule="exact"/>
              <w:ind w:firstLine="0"/>
              <w:jc w:val="center"/>
            </w:pPr>
            <m:oMath>
              <m:sSub>
                <m:sSubPr>
                  <m:ctrlPr>
                    <w:rPr>
                      <w:rFonts w:ascii="Cambria Math" w:hAnsi="Cambria Math"/>
                    </w:rPr>
                  </m:ctrlPr>
                </m:sSubPr>
                <m:e>
                  <m:r>
                    <w:rPr>
                      <w:rFonts w:ascii="Cambria Math" w:hAnsi="Cambria Math"/>
                    </w:rPr>
                    <m:t>n</m:t>
                  </m:r>
                </m:e>
                <m:sub>
                  <m:r>
                    <w:rPr>
                      <w:rFonts w:ascii="Cambria Math" w:hAnsi="Cambria Math"/>
                    </w:rPr>
                    <m:t>00</m:t>
                  </m:r>
                </m:sub>
              </m:sSub>
            </m:oMath>
            <w:r>
              <w:rPr>
                <w:rFonts w:cs="Times New Roman"/>
                <w:b/>
              </w:rPr>
              <w:t xml:space="preserve"> / </w:t>
            </w:r>
            <m:oMath>
              <m:sSub>
                <m:sSubPr>
                  <m:ctrlPr>
                    <w:rPr>
                      <w:rFonts w:ascii="Cambria Math" w:hAnsi="Cambria Math"/>
                    </w:rPr>
                  </m:ctrlPr>
                </m:sSubPr>
                <m:e>
                  <m:r>
                    <w:rPr>
                      <w:rFonts w:ascii="Cambria Math" w:hAnsi="Cambria Math"/>
                    </w:rPr>
                    <m:t>n</m:t>
                  </m:r>
                </m:e>
                <m:sub>
                  <m:r>
                    <w:rPr>
                      <w:rFonts w:ascii="Cambria Math" w:hAnsi="Cambria Math"/>
                    </w:rPr>
                    <m:t>01</m:t>
                  </m:r>
                </m:sub>
              </m:sSub>
            </m:oMath>
            <w:r>
              <w:rPr>
                <w:rFonts w:cs="Times New Roman"/>
                <w:b/>
              </w:rPr>
              <w:t xml:space="preserve"> / </w:t>
            </w:r>
            <m:oMath>
              <m:sSub>
                <m:sSubPr>
                  <m:ctrlPr>
                    <w:rPr>
                      <w:rFonts w:ascii="Cambria Math" w:hAnsi="Cambria Math"/>
                    </w:rPr>
                  </m:ctrlPr>
                </m:sSubPr>
                <m:e>
                  <m:r>
                    <w:rPr>
                      <w:rFonts w:ascii="Cambria Math" w:hAnsi="Cambria Math"/>
                    </w:rPr>
                    <m:t>n</m:t>
                  </m:r>
                </m:e>
                <m:sub>
                  <m:r>
                    <w:rPr>
                      <w:rFonts w:ascii="Cambria Math" w:hAnsi="Cambria Math"/>
                    </w:rPr>
                    <m:t>10</m:t>
                  </m:r>
                </m:sub>
              </m:sSub>
            </m:oMath>
            <w:r>
              <w:rPr>
                <w:rFonts w:cs="Times New Roman"/>
                <w:b/>
              </w:rPr>
              <w:t xml:space="preserve"> / </w:t>
            </w:r>
            <m:oMath>
              <m:sSub>
                <m:sSubPr>
                  <m:ctrlPr>
                    <w:rPr>
                      <w:rFonts w:ascii="Cambria Math" w:hAnsi="Cambria Math"/>
                    </w:rPr>
                  </m:ctrlPr>
                </m:sSubPr>
                <m:e>
                  <m:r>
                    <w:rPr>
                      <w:rFonts w:ascii="Cambria Math" w:hAnsi="Cambria Math"/>
                    </w:rPr>
                    <m:t>n</m:t>
                  </m:r>
                </m:e>
                <m:sub>
                  <m:r>
                    <w:rPr>
                      <w:rFonts w:ascii="Cambria Math" w:hAnsi="Cambria Math"/>
                    </w:rPr>
                    <m:t>11</m:t>
                  </m:r>
                </m:sub>
              </m:sSub>
            </m:oMath>
          </w:p>
        </w:tc>
        <w:tc>
          <w:tcPr>
            <w:tcW w:w="2438" w:type="dxa"/>
            <w:shd w:val="clear" w:color="auto" w:fill="FFFFFF"/>
            <w:tcMar>
              <w:top w:w="90" w:type="dxa"/>
              <w:left w:w="85" w:type="dxa"/>
              <w:bottom w:w="90" w:type="dxa"/>
              <w:right w:w="85" w:type="dxa"/>
            </w:tcMar>
            <w:vAlign w:val="center"/>
          </w:tcPr>
          <w:p w14:paraId="5787E942" w14:textId="77777777" w:rsidR="00083274" w:rsidRDefault="00CD44F7">
            <w:pPr>
              <w:keepNext/>
              <w:keepLines/>
              <w:spacing w:after="0" w:line="348" w:lineRule="exact"/>
              <w:ind w:firstLine="0"/>
              <w:jc w:val="center"/>
            </w:pPr>
            <w:r>
              <w:rPr>
                <w:rFonts w:cs="Times New Roman"/>
                <w:b/>
              </w:rPr>
              <w:t>持续失效</w:t>
            </w:r>
            <w:r>
              <w:rPr>
                <w:rFonts w:cs="Times New Roman"/>
                <w:b/>
              </w:rPr>
              <w:t xml:space="preserve"> / </w:t>
            </w:r>
            <w:r>
              <w:rPr>
                <w:rFonts w:cs="Times New Roman"/>
                <w:b/>
              </w:rPr>
              <w:t>回归比例</w:t>
            </w:r>
          </w:p>
        </w:tc>
        <w:tc>
          <w:tcPr>
            <w:tcW w:w="1417" w:type="dxa"/>
            <w:shd w:val="clear" w:color="auto" w:fill="FFFFFF"/>
            <w:tcMar>
              <w:top w:w="90" w:type="dxa"/>
              <w:left w:w="85" w:type="dxa"/>
              <w:bottom w:w="90" w:type="dxa"/>
              <w:right w:w="85" w:type="dxa"/>
            </w:tcMar>
            <w:vAlign w:val="center"/>
          </w:tcPr>
          <w:p w14:paraId="140C6931" w14:textId="77777777" w:rsidR="00083274" w:rsidRDefault="00CD44F7">
            <w:pPr>
              <w:keepNext/>
              <w:keepLines/>
              <w:spacing w:after="0" w:line="348" w:lineRule="exact"/>
              <w:ind w:firstLine="0"/>
              <w:jc w:val="center"/>
            </w:pPr>
            <w:r>
              <w:rPr>
                <w:rFonts w:cs="Times New Roman"/>
                <w:b/>
              </w:rPr>
              <w:t>分数</w:t>
            </w:r>
          </w:p>
        </w:tc>
        <w:tc>
          <w:tcPr>
            <w:tcW w:w="1417" w:type="dxa"/>
            <w:shd w:val="clear" w:color="auto" w:fill="FFFFFF"/>
            <w:tcMar>
              <w:top w:w="90" w:type="dxa"/>
              <w:left w:w="85" w:type="dxa"/>
              <w:bottom w:w="90" w:type="dxa"/>
              <w:right w:w="85" w:type="dxa"/>
            </w:tcMar>
            <w:vAlign w:val="center"/>
          </w:tcPr>
          <w:p w14:paraId="3B2C299C" w14:textId="77777777" w:rsidR="00083274" w:rsidRDefault="00CD44F7">
            <w:pPr>
              <w:keepNext/>
              <w:keepLines/>
              <w:spacing w:after="0" w:line="348" w:lineRule="exact"/>
              <w:ind w:firstLine="0"/>
              <w:jc w:val="center"/>
            </w:pPr>
            <w:r>
              <w:rPr>
                <w:rFonts w:cs="Times New Roman"/>
                <w:b/>
              </w:rPr>
              <w:t>份额</w:t>
            </w:r>
          </w:p>
        </w:tc>
      </w:tr>
      <w:tr w:rsidR="00083274" w14:paraId="3315A82B" w14:textId="77777777">
        <w:trPr>
          <w:cantSplit/>
          <w:jc w:val="center"/>
        </w:trPr>
        <w:tc>
          <w:tcPr>
            <w:tcW w:w="1304" w:type="dxa"/>
            <w:tcMar>
              <w:top w:w="90" w:type="dxa"/>
              <w:left w:w="85" w:type="dxa"/>
              <w:bottom w:w="90" w:type="dxa"/>
              <w:right w:w="85" w:type="dxa"/>
            </w:tcMar>
            <w:vAlign w:val="center"/>
          </w:tcPr>
          <w:p w14:paraId="7CA90F59" w14:textId="77777777" w:rsidR="00083274" w:rsidRDefault="00CD44F7">
            <w:pPr>
              <w:keepNext/>
              <w:keepLines/>
              <w:spacing w:after="0" w:line="348" w:lineRule="exact"/>
              <w:ind w:firstLine="0"/>
              <w:jc w:val="left"/>
            </w:pPr>
            <w:r>
              <w:rPr>
                <w:rFonts w:cs="Times New Roman"/>
              </w:rPr>
              <w:t>区域</w:t>
            </w:r>
            <w:r>
              <w:rPr>
                <w:rFonts w:cs="Times New Roman"/>
              </w:rPr>
              <w:t>1</w:t>
            </w:r>
          </w:p>
        </w:tc>
        <w:tc>
          <w:tcPr>
            <w:tcW w:w="2324" w:type="dxa"/>
            <w:tcMar>
              <w:top w:w="90" w:type="dxa"/>
              <w:left w:w="85" w:type="dxa"/>
              <w:bottom w:w="90" w:type="dxa"/>
              <w:right w:w="85" w:type="dxa"/>
            </w:tcMar>
            <w:vAlign w:val="center"/>
          </w:tcPr>
          <w:p w14:paraId="7CBEC2F0" w14:textId="77777777" w:rsidR="00083274" w:rsidRDefault="00CD44F7">
            <w:pPr>
              <w:keepNext/>
              <w:keepLines/>
              <w:spacing w:after="0" w:line="348" w:lineRule="exact"/>
              <w:ind w:firstLine="0"/>
              <w:jc w:val="left"/>
            </w:pPr>
            <w:r>
              <w:rPr>
                <w:rFonts w:cs="Times New Roman"/>
              </w:rPr>
              <w:t>10 / 0 / 5 / 5</w:t>
            </w:r>
          </w:p>
        </w:tc>
        <w:tc>
          <w:tcPr>
            <w:tcW w:w="2438" w:type="dxa"/>
            <w:tcMar>
              <w:top w:w="90" w:type="dxa"/>
              <w:left w:w="85" w:type="dxa"/>
              <w:bottom w:w="90" w:type="dxa"/>
              <w:right w:w="85" w:type="dxa"/>
            </w:tcMar>
            <w:vAlign w:val="center"/>
          </w:tcPr>
          <w:p w14:paraId="3D4969E6" w14:textId="77777777" w:rsidR="00083274" w:rsidRDefault="00CD44F7">
            <w:pPr>
              <w:keepNext/>
              <w:keepLines/>
              <w:spacing w:after="0" w:line="348" w:lineRule="exact"/>
              <w:ind w:firstLine="0"/>
              <w:jc w:val="left"/>
            </w:pPr>
            <w:r>
              <w:rPr>
                <w:rFonts w:cs="Times New Roman"/>
              </w:rPr>
              <w:t>0.5 / 0</w:t>
            </w:r>
          </w:p>
        </w:tc>
        <w:tc>
          <w:tcPr>
            <w:tcW w:w="1417" w:type="dxa"/>
            <w:tcMar>
              <w:top w:w="90" w:type="dxa"/>
              <w:left w:w="85" w:type="dxa"/>
              <w:bottom w:w="90" w:type="dxa"/>
              <w:right w:w="85" w:type="dxa"/>
            </w:tcMar>
            <w:vAlign w:val="center"/>
          </w:tcPr>
          <w:p w14:paraId="44706802" w14:textId="77777777" w:rsidR="00083274" w:rsidRDefault="00CD44F7">
            <w:pPr>
              <w:keepNext/>
              <w:keepLines/>
              <w:spacing w:after="0" w:line="348" w:lineRule="exact"/>
              <w:ind w:firstLine="0"/>
              <w:jc w:val="left"/>
            </w:pPr>
            <w:r>
              <w:rPr>
                <w:rFonts w:cs="Times New Roman"/>
              </w:rPr>
              <w:t>0.5</w:t>
            </w:r>
          </w:p>
        </w:tc>
        <w:tc>
          <w:tcPr>
            <w:tcW w:w="1417" w:type="dxa"/>
            <w:tcMar>
              <w:top w:w="90" w:type="dxa"/>
              <w:left w:w="85" w:type="dxa"/>
              <w:bottom w:w="90" w:type="dxa"/>
              <w:right w:w="85" w:type="dxa"/>
            </w:tcMar>
            <w:vAlign w:val="center"/>
          </w:tcPr>
          <w:p w14:paraId="2752EB32" w14:textId="77777777" w:rsidR="00083274" w:rsidRDefault="00CD44F7">
            <w:pPr>
              <w:keepNext/>
              <w:keepLines/>
              <w:spacing w:after="0" w:line="348" w:lineRule="exact"/>
              <w:ind w:firstLine="0"/>
              <w:jc w:val="left"/>
            </w:pPr>
            <w:r>
              <w:rPr>
                <w:rFonts w:cs="Times New Roman"/>
              </w:rPr>
              <w:t>30%</w:t>
            </w:r>
          </w:p>
        </w:tc>
      </w:tr>
      <w:tr w:rsidR="00083274" w14:paraId="7B1B18C2" w14:textId="77777777">
        <w:trPr>
          <w:cantSplit/>
          <w:jc w:val="center"/>
        </w:trPr>
        <w:tc>
          <w:tcPr>
            <w:tcW w:w="1304" w:type="dxa"/>
            <w:tcMar>
              <w:top w:w="90" w:type="dxa"/>
              <w:left w:w="85" w:type="dxa"/>
              <w:bottom w:w="90" w:type="dxa"/>
              <w:right w:w="85" w:type="dxa"/>
            </w:tcMar>
            <w:vAlign w:val="center"/>
          </w:tcPr>
          <w:p w14:paraId="60E14CA4" w14:textId="77777777" w:rsidR="00083274" w:rsidRDefault="00CD44F7">
            <w:pPr>
              <w:keepNext/>
              <w:keepLines/>
              <w:spacing w:after="0" w:line="348" w:lineRule="exact"/>
              <w:ind w:firstLine="0"/>
              <w:jc w:val="left"/>
            </w:pPr>
            <w:r>
              <w:rPr>
                <w:rFonts w:cs="Times New Roman"/>
              </w:rPr>
              <w:t>区域</w:t>
            </w:r>
            <w:r>
              <w:rPr>
                <w:rFonts w:cs="Times New Roman"/>
              </w:rPr>
              <w:t>2</w:t>
            </w:r>
            <w:r>
              <w:rPr>
                <w:rFonts w:cs="Times New Roman"/>
              </w:rPr>
              <w:t>（新）</w:t>
            </w:r>
          </w:p>
        </w:tc>
        <w:tc>
          <w:tcPr>
            <w:tcW w:w="2324" w:type="dxa"/>
            <w:tcMar>
              <w:top w:w="90" w:type="dxa"/>
              <w:left w:w="85" w:type="dxa"/>
              <w:bottom w:w="90" w:type="dxa"/>
              <w:right w:w="85" w:type="dxa"/>
            </w:tcMar>
            <w:vAlign w:val="center"/>
          </w:tcPr>
          <w:p w14:paraId="3E46134F" w14:textId="77777777" w:rsidR="00083274" w:rsidRDefault="00CD44F7">
            <w:pPr>
              <w:keepNext/>
              <w:keepLines/>
              <w:spacing w:after="0" w:line="348" w:lineRule="exact"/>
              <w:ind w:firstLine="0"/>
              <w:jc w:val="left"/>
            </w:pPr>
            <w:r>
              <w:rPr>
                <w:rFonts w:cs="Times New Roman"/>
              </w:rPr>
              <w:t>8 / 2 / 6 / 4</w:t>
            </w:r>
          </w:p>
        </w:tc>
        <w:tc>
          <w:tcPr>
            <w:tcW w:w="2438" w:type="dxa"/>
            <w:tcMar>
              <w:top w:w="90" w:type="dxa"/>
              <w:left w:w="85" w:type="dxa"/>
              <w:bottom w:w="90" w:type="dxa"/>
              <w:right w:w="85" w:type="dxa"/>
            </w:tcMar>
            <w:vAlign w:val="center"/>
          </w:tcPr>
          <w:p w14:paraId="215F8E79" w14:textId="77777777" w:rsidR="00083274" w:rsidRDefault="00CD44F7">
            <w:pPr>
              <w:keepNext/>
              <w:keepLines/>
              <w:spacing w:after="0" w:line="348" w:lineRule="exact"/>
              <w:ind w:firstLine="0"/>
              <w:jc w:val="left"/>
            </w:pPr>
            <w:r>
              <w:rPr>
                <w:rFonts w:cs="Times New Roman"/>
              </w:rPr>
              <w:t>0.4 / 0.2</w:t>
            </w:r>
          </w:p>
        </w:tc>
        <w:tc>
          <w:tcPr>
            <w:tcW w:w="1417" w:type="dxa"/>
            <w:tcMar>
              <w:top w:w="90" w:type="dxa"/>
              <w:left w:w="85" w:type="dxa"/>
              <w:bottom w:w="90" w:type="dxa"/>
              <w:right w:w="85" w:type="dxa"/>
            </w:tcMar>
            <w:vAlign w:val="center"/>
          </w:tcPr>
          <w:p w14:paraId="69E98A73" w14:textId="77777777" w:rsidR="00083274" w:rsidRDefault="00CD44F7">
            <w:pPr>
              <w:keepNext/>
              <w:keepLines/>
              <w:spacing w:after="0" w:line="348" w:lineRule="exact"/>
              <w:ind w:firstLine="0"/>
              <w:jc w:val="left"/>
            </w:pPr>
            <w:r>
              <w:rPr>
                <w:rFonts w:cs="Times New Roman"/>
              </w:rPr>
              <w:t>1.2</w:t>
            </w:r>
          </w:p>
        </w:tc>
        <w:tc>
          <w:tcPr>
            <w:tcW w:w="1417" w:type="dxa"/>
            <w:tcMar>
              <w:top w:w="90" w:type="dxa"/>
              <w:left w:w="85" w:type="dxa"/>
              <w:bottom w:w="90" w:type="dxa"/>
              <w:right w:w="85" w:type="dxa"/>
            </w:tcMar>
            <w:vAlign w:val="center"/>
          </w:tcPr>
          <w:p w14:paraId="3F715D75" w14:textId="77777777" w:rsidR="00083274" w:rsidRDefault="00CD44F7">
            <w:pPr>
              <w:keepNext/>
              <w:keepLines/>
              <w:spacing w:after="0" w:line="348" w:lineRule="exact"/>
              <w:ind w:firstLine="0"/>
              <w:jc w:val="left"/>
            </w:pPr>
            <w:r>
              <w:rPr>
                <w:rFonts w:cs="Times New Roman"/>
              </w:rPr>
              <w:t>65%</w:t>
            </w:r>
          </w:p>
        </w:tc>
      </w:tr>
      <w:tr w:rsidR="00083274" w14:paraId="3A914C46" w14:textId="77777777">
        <w:trPr>
          <w:cantSplit/>
          <w:jc w:val="center"/>
        </w:trPr>
        <w:tc>
          <w:tcPr>
            <w:tcW w:w="1304" w:type="dxa"/>
            <w:tcMar>
              <w:top w:w="90" w:type="dxa"/>
              <w:left w:w="85" w:type="dxa"/>
              <w:bottom w:w="90" w:type="dxa"/>
              <w:right w:w="85" w:type="dxa"/>
            </w:tcMar>
            <w:vAlign w:val="center"/>
          </w:tcPr>
          <w:p w14:paraId="5991C0B6" w14:textId="77777777" w:rsidR="00083274" w:rsidRDefault="00CD44F7">
            <w:pPr>
              <w:keepLines/>
              <w:spacing w:after="0" w:line="348" w:lineRule="exact"/>
              <w:ind w:firstLine="0"/>
              <w:jc w:val="left"/>
            </w:pPr>
            <w:r>
              <w:rPr>
                <w:rFonts w:cs="Times New Roman"/>
              </w:rPr>
              <w:t>区域</w:t>
            </w:r>
            <w:r>
              <w:rPr>
                <w:rFonts w:cs="Times New Roman"/>
              </w:rPr>
              <w:t>3</w:t>
            </w:r>
          </w:p>
        </w:tc>
        <w:tc>
          <w:tcPr>
            <w:tcW w:w="2324" w:type="dxa"/>
            <w:tcMar>
              <w:top w:w="90" w:type="dxa"/>
              <w:left w:w="85" w:type="dxa"/>
              <w:bottom w:w="90" w:type="dxa"/>
              <w:right w:w="85" w:type="dxa"/>
            </w:tcMar>
            <w:vAlign w:val="center"/>
          </w:tcPr>
          <w:p w14:paraId="479AF83C" w14:textId="77777777" w:rsidR="00083274" w:rsidRDefault="00CD44F7">
            <w:pPr>
              <w:keepLines/>
              <w:spacing w:after="0" w:line="348" w:lineRule="exact"/>
              <w:ind w:firstLine="0"/>
              <w:jc w:val="left"/>
            </w:pPr>
            <w:r>
              <w:rPr>
                <w:rFonts w:cs="Times New Roman"/>
              </w:rPr>
              <w:t>10 / 0 / 10 / 0</w:t>
            </w:r>
          </w:p>
        </w:tc>
        <w:tc>
          <w:tcPr>
            <w:tcW w:w="2438" w:type="dxa"/>
            <w:tcMar>
              <w:top w:w="90" w:type="dxa"/>
              <w:left w:w="85" w:type="dxa"/>
              <w:bottom w:w="90" w:type="dxa"/>
              <w:right w:w="85" w:type="dxa"/>
            </w:tcMar>
            <w:vAlign w:val="center"/>
          </w:tcPr>
          <w:p w14:paraId="1F31E1C7" w14:textId="77777777" w:rsidR="00083274" w:rsidRDefault="00CD44F7">
            <w:pPr>
              <w:keepLines/>
              <w:spacing w:after="0" w:line="348" w:lineRule="exact"/>
              <w:ind w:firstLine="0"/>
              <w:jc w:val="left"/>
            </w:pPr>
            <w:r>
              <w:rPr>
                <w:rFonts w:cs="Times New Roman"/>
              </w:rPr>
              <w:t>0 / 0</w:t>
            </w:r>
          </w:p>
        </w:tc>
        <w:tc>
          <w:tcPr>
            <w:tcW w:w="1417" w:type="dxa"/>
            <w:tcMar>
              <w:top w:w="90" w:type="dxa"/>
              <w:left w:w="85" w:type="dxa"/>
              <w:bottom w:w="90" w:type="dxa"/>
              <w:right w:w="85" w:type="dxa"/>
            </w:tcMar>
            <w:vAlign w:val="center"/>
          </w:tcPr>
          <w:p w14:paraId="57AF49D0" w14:textId="77777777" w:rsidR="00083274" w:rsidRDefault="00CD44F7">
            <w:pPr>
              <w:keepLines/>
              <w:spacing w:after="0" w:line="348" w:lineRule="exact"/>
              <w:ind w:firstLine="0"/>
              <w:jc w:val="left"/>
            </w:pPr>
            <w:r>
              <w:rPr>
                <w:rFonts w:cs="Times New Roman"/>
              </w:rPr>
              <w:t>0</w:t>
            </w:r>
          </w:p>
        </w:tc>
        <w:tc>
          <w:tcPr>
            <w:tcW w:w="1417" w:type="dxa"/>
            <w:tcMar>
              <w:top w:w="90" w:type="dxa"/>
              <w:left w:w="85" w:type="dxa"/>
              <w:bottom w:w="90" w:type="dxa"/>
              <w:right w:w="85" w:type="dxa"/>
            </w:tcMar>
            <w:vAlign w:val="center"/>
          </w:tcPr>
          <w:p w14:paraId="7AAF8514" w14:textId="77777777" w:rsidR="00083274" w:rsidRDefault="00CD44F7">
            <w:pPr>
              <w:keepLines/>
              <w:spacing w:after="0" w:line="348" w:lineRule="exact"/>
              <w:ind w:firstLine="0"/>
              <w:jc w:val="left"/>
            </w:pPr>
            <w:r>
              <w:rPr>
                <w:rFonts w:cs="Times New Roman"/>
              </w:rPr>
              <w:t>5%</w:t>
            </w:r>
          </w:p>
        </w:tc>
      </w:tr>
    </w:tbl>
    <w:p w14:paraId="7327E494" w14:textId="77777777" w:rsidR="00083274" w:rsidRDefault="00083274">
      <w:pPr>
        <w:spacing w:after="40" w:line="60" w:lineRule="exact"/>
        <w:ind w:firstLine="0"/>
      </w:pPr>
    </w:p>
    <w:p w14:paraId="5C790916" w14:textId="77777777" w:rsidR="00083274" w:rsidRDefault="00CD44F7">
      <w:r>
        <w:rPr>
          <w:rFonts w:cs="Times New Roman"/>
        </w:rPr>
        <w:t>区域</w:t>
      </w:r>
      <w:r>
        <w:rPr>
          <w:rFonts w:cs="Times New Roman"/>
        </w:rPr>
        <w:t>2</w:t>
      </w:r>
      <w:r>
        <w:rPr>
          <w:rFonts w:cs="Times New Roman"/>
        </w:rPr>
        <w:t>的分数为</w:t>
      </w:r>
      <w:r>
        <w:rPr>
          <w:rFonts w:cs="Times New Roman"/>
        </w:rPr>
        <w:t>1.5×</w:t>
      </w:r>
      <w:r>
        <w:rPr>
          <w:rFonts w:cs="Times New Roman"/>
        </w:rPr>
        <w:t>（</w:t>
      </w:r>
      <w:r>
        <w:rPr>
          <w:rFonts w:cs="Times New Roman"/>
        </w:rPr>
        <w:t>0.4</w:t>
      </w:r>
      <w:r>
        <w:rPr>
          <w:rFonts w:cs="Times New Roman"/>
        </w:rPr>
        <w:t>＋</w:t>
      </w:r>
      <w:r>
        <w:rPr>
          <w:rFonts w:cs="Times New Roman"/>
        </w:rPr>
        <w:t>2×0.2</w:t>
      </w:r>
      <w:r>
        <w:rPr>
          <w:rFonts w:cs="Times New Roman"/>
        </w:rPr>
        <w:t>）＝</w:t>
      </w:r>
      <w:r>
        <w:rPr>
          <w:rFonts w:cs="Times New Roman"/>
        </w:rPr>
        <w:t>1.2</w:t>
      </w:r>
      <w:r>
        <w:rPr>
          <w:rFonts w:cs="Times New Roman"/>
        </w:rPr>
        <w:t>。三个区域加入平滑量后为</w:t>
      </w:r>
      <w:r>
        <w:rPr>
          <w:rFonts w:cs="Times New Roman"/>
        </w:rPr>
        <w:t>0.6</w:t>
      </w:r>
      <w:r>
        <w:rPr>
          <w:rFonts w:cs="Times New Roman"/>
        </w:rPr>
        <w:t>、</w:t>
      </w:r>
      <w:r>
        <w:rPr>
          <w:rFonts w:cs="Times New Roman"/>
        </w:rPr>
        <w:t>1.3</w:t>
      </w:r>
      <w:r>
        <w:rPr>
          <w:rFonts w:cs="Times New Roman"/>
        </w:rPr>
        <w:t>和</w:t>
      </w:r>
      <w:r>
        <w:rPr>
          <w:rFonts w:cs="Times New Roman"/>
        </w:rPr>
        <w:t>0.1</w:t>
      </w:r>
      <w:r>
        <w:rPr>
          <w:rFonts w:cs="Times New Roman"/>
        </w:rPr>
        <w:t>，归一化份额为</w:t>
      </w:r>
      <w:r>
        <w:rPr>
          <w:rFonts w:cs="Times New Roman"/>
        </w:rPr>
        <w:t>30%</w:t>
      </w:r>
      <w:r>
        <w:rPr>
          <w:rFonts w:cs="Times New Roman"/>
        </w:rPr>
        <w:t>、</w:t>
      </w:r>
      <w:r>
        <w:rPr>
          <w:rFonts w:cs="Times New Roman"/>
        </w:rPr>
        <w:t>65%</w:t>
      </w:r>
      <w:r>
        <w:rPr>
          <w:rFonts w:cs="Times New Roman"/>
        </w:rPr>
        <w:t>和</w:t>
      </w:r>
      <w:r>
        <w:rPr>
          <w:rFonts w:cs="Times New Roman"/>
        </w:rPr>
        <w:t>5%</w:t>
      </w:r>
      <w:r>
        <w:rPr>
          <w:rFonts w:cs="Times New Roman"/>
        </w:rPr>
        <w:t>。区域</w:t>
      </w:r>
      <w:r>
        <w:rPr>
          <w:rFonts w:cs="Times New Roman"/>
        </w:rPr>
        <w:t>3</w:t>
      </w:r>
      <w:r>
        <w:rPr>
          <w:rFonts w:cs="Times New Roman"/>
        </w:rPr>
        <w:t>虽然本轮未出现持续失效或回归，仍保留已知区域复测机会。</w:t>
      </w:r>
    </w:p>
    <w:p w14:paraId="2A5E6CA2" w14:textId="77777777" w:rsidR="00083274" w:rsidRDefault="00CD44F7">
      <w:r>
        <w:rPr>
          <w:rFonts w:cs="Times New Roman"/>
        </w:rPr>
        <w:t>设本轮后续测试预算为</w:t>
      </w:r>
      <w:r>
        <w:rPr>
          <w:rFonts w:cs="Times New Roman"/>
        </w:rPr>
        <w:t>10000</w:t>
      </w:r>
      <w:r>
        <w:rPr>
          <w:rFonts w:cs="Times New Roman"/>
        </w:rPr>
        <w:t>个物理仿真步，预留</w:t>
      </w:r>
      <w:r>
        <w:rPr>
          <w:rFonts w:cs="Times New Roman"/>
        </w:rPr>
        <w:t>1000</w:t>
      </w:r>
      <w:r>
        <w:rPr>
          <w:rFonts w:cs="Times New Roman"/>
        </w:rPr>
        <w:t>步用于未观测类别补测、</w:t>
      </w:r>
      <w:r>
        <w:rPr>
          <w:rFonts w:cs="Times New Roman"/>
        </w:rPr>
        <w:t>1000</w:t>
      </w:r>
      <w:r>
        <w:rPr>
          <w:rFonts w:cs="Times New Roman"/>
        </w:rPr>
        <w:t>步用于新事件探索，剩余</w:t>
      </w:r>
      <w:r>
        <w:rPr>
          <w:rFonts w:cs="Times New Roman"/>
        </w:rPr>
        <w:t>8000</w:t>
      </w:r>
      <w:r>
        <w:rPr>
          <w:rFonts w:cs="Times New Roman"/>
        </w:rPr>
        <w:t>步按份额分为</w:t>
      </w:r>
      <w:r>
        <w:rPr>
          <w:rFonts w:cs="Times New Roman"/>
        </w:rPr>
        <w:t>2400</w:t>
      </w:r>
      <w:r>
        <w:rPr>
          <w:rFonts w:cs="Times New Roman"/>
        </w:rPr>
        <w:t>、</w:t>
      </w:r>
      <w:r>
        <w:rPr>
          <w:rFonts w:cs="Times New Roman"/>
        </w:rPr>
        <w:t>5200</w:t>
      </w:r>
      <w:r>
        <w:rPr>
          <w:rFonts w:cs="Times New Roman"/>
        </w:rPr>
        <w:t>和</w:t>
      </w:r>
      <w:r>
        <w:rPr>
          <w:rFonts w:cs="Times New Roman"/>
        </w:rPr>
        <w:t>400</w:t>
      </w:r>
      <w:r>
        <w:rPr>
          <w:rFonts w:cs="Times New Roman"/>
        </w:rPr>
        <w:t>步。一次执行提前终止时扣减已执行步数，区域余额继续用于恢复实例、候选执行或邻点搜索。</w:t>
      </w:r>
    </w:p>
    <w:p w14:paraId="037A3BF3" w14:textId="77777777" w:rsidR="00083274" w:rsidRDefault="00CD44F7">
      <w:r>
        <w:rPr>
          <w:rFonts w:cs="Times New Roman"/>
        </w:rPr>
        <w:t>若区域</w:t>
      </w:r>
      <w:r>
        <w:rPr>
          <w:rFonts w:cs="Times New Roman"/>
        </w:rPr>
        <w:t>1</w:t>
      </w:r>
      <w:r>
        <w:rPr>
          <w:rFonts w:cs="Times New Roman"/>
        </w:rPr>
        <w:t>新增若干基准成功实例，持续失效比例仍使用原失效组的</w:t>
      </w:r>
      <w:r>
        <w:rPr>
          <w:rFonts w:cs="Times New Roman"/>
        </w:rPr>
        <w:t>5/10</w:t>
      </w:r>
      <w:r>
        <w:rPr>
          <w:rFonts w:cs="Times New Roman"/>
        </w:rPr>
        <w:t>；新增实例的配对结果仅更新回归比例。追加实例须先确定基准标签与区域归属，再执行新策略，并作为单独批次或下一轮集合使用。</w:t>
      </w:r>
    </w:p>
    <w:p w14:paraId="035A9C7E" w14:textId="77777777" w:rsidR="00083274" w:rsidRDefault="00CD44F7">
      <w:pPr>
        <w:pStyle w:val="21"/>
        <w:keepLines w:val="0"/>
      </w:pPr>
      <w:r>
        <w:rPr>
          <w:rFonts w:cs="Times New Roman"/>
        </w:rPr>
        <w:t xml:space="preserve">8.3 </w:t>
      </w:r>
      <w:r>
        <w:rPr>
          <w:rFonts w:cs="Times New Roman"/>
        </w:rPr>
        <w:t>历史标签变化及未观测类别处理</w:t>
      </w:r>
    </w:p>
    <w:p w14:paraId="46323EA0" w14:textId="77777777" w:rsidR="00083274" w:rsidRDefault="00CD44F7">
      <w:r>
        <w:rPr>
          <w:rFonts w:cs="Times New Roman"/>
        </w:rPr>
        <w:t>设某历史链接在发现版本下为一失效、一成功；到本轮基准版本，两端均已成功。两端在本轮均进入基准成功组，若新版使其中一端失效，该项计入</w:t>
      </w:r>
      <m:oMath>
        <m:sSub>
          <m:sSubPr>
            <m:ctrlPr>
              <w:rPr>
                <w:rFonts w:ascii="Cambria Math" w:hAnsi="Cambria Math"/>
              </w:rPr>
            </m:ctrlPr>
          </m:sSubPr>
          <m:e>
            <m:r>
              <w:rPr>
                <w:rFonts w:ascii="Cambria Math" w:hAnsi="Cambria Math"/>
              </w:rPr>
              <m:t>n</m:t>
            </m:r>
          </m:e>
          <m:sub>
            <m:r>
              <w:rPr>
                <w:rFonts w:ascii="Cambria Math" w:hAnsi="Cambria Math"/>
              </w:rPr>
              <m:t>01</m:t>
            </m:r>
          </m:sub>
        </m:sSub>
      </m:oMath>
      <w:r>
        <w:rPr>
          <w:rFonts w:cs="Times New Roman"/>
        </w:rPr>
        <w:t>，不因其历史上曾为失效而计入</w:t>
      </w:r>
      <m:oMath>
        <m:sSub>
          <m:sSubPr>
            <m:ctrlPr>
              <w:rPr>
                <w:rFonts w:ascii="Cambria Math" w:hAnsi="Cambria Math"/>
              </w:rPr>
            </m:ctrlPr>
          </m:sSubPr>
          <m:e>
            <m:r>
              <w:rPr>
                <w:rFonts w:ascii="Cambria Math" w:hAnsi="Cambria Math"/>
              </w:rPr>
              <m:t>n</m:t>
            </m:r>
          </m:e>
          <m:sub>
            <m:r>
              <w:rPr>
                <w:rFonts w:ascii="Cambria Math" w:hAnsi="Cambria Math"/>
              </w:rPr>
              <m:t>11</m:t>
            </m:r>
          </m:sub>
        </m:sSub>
      </m:oMath>
      <w:r>
        <w:rPr>
          <w:rFonts w:cs="Times New Roman"/>
        </w:rPr>
        <w:t>。若当前区域只有基准成功实例，则持续失效类别标记为未观测。</w:t>
      </w:r>
    </w:p>
    <w:p w14:paraId="10996A74" w14:textId="77777777" w:rsidR="00083274" w:rsidRDefault="00CD44F7">
      <w:r>
        <w:rPr>
          <w:rFonts w:cs="Times New Roman"/>
        </w:rPr>
        <w:lastRenderedPageBreak/>
        <w:t>为该区域设置最多</w:t>
      </w:r>
      <w:r>
        <w:rPr>
          <w:rFonts w:cs="Times New Roman"/>
        </w:rPr>
        <w:t>600</w:t>
      </w:r>
      <w:r>
        <w:rPr>
          <w:rFonts w:cs="Times New Roman"/>
        </w:rPr>
        <w:t>个物理仿真步的补测限额，优先恢复尚未纳入的历史失效输入，在当前基准下确认；仍未取得失效时，可在允许范围内生成候选。限额耗尽后保持未观测标记，按已观测回归项及正平滑继续分配，不把未观测解释为零持续失效。</w:t>
      </w:r>
    </w:p>
    <w:p w14:paraId="68958DF3" w14:textId="77777777" w:rsidR="00083274" w:rsidRDefault="00CD44F7">
      <w:r>
        <w:rPr>
          <w:rFonts w:cs="Times New Roman"/>
        </w:rPr>
        <w:t>另设某区域在基准下</w:t>
      </w:r>
      <w:r>
        <w:rPr>
          <w:rFonts w:cs="Times New Roman"/>
        </w:rPr>
        <w:t>10</w:t>
      </w:r>
      <w:r>
        <w:rPr>
          <w:rFonts w:cs="Times New Roman"/>
        </w:rPr>
        <w:t>个失效、</w:t>
      </w:r>
      <w:r>
        <w:rPr>
          <w:rFonts w:cs="Times New Roman"/>
        </w:rPr>
        <w:t>10</w:t>
      </w:r>
      <w:r>
        <w:rPr>
          <w:rFonts w:cs="Times New Roman"/>
        </w:rPr>
        <w:t>个成功，新版解除其中</w:t>
      </w:r>
      <w:r>
        <w:rPr>
          <w:rFonts w:cs="Times New Roman"/>
        </w:rPr>
        <w:t>3</w:t>
      </w:r>
      <w:r>
        <w:rPr>
          <w:rFonts w:cs="Times New Roman"/>
        </w:rPr>
        <w:t>个失效，同时引入</w:t>
      </w:r>
      <w:r>
        <w:rPr>
          <w:rFonts w:cs="Times New Roman"/>
        </w:rPr>
        <w:t>3</w:t>
      </w:r>
      <w:r>
        <w:rPr>
          <w:rFonts w:cs="Times New Roman"/>
        </w:rPr>
        <w:t>个回归，则总失效数仍为</w:t>
      </w:r>
      <w:r>
        <w:rPr>
          <w:rFonts w:cs="Times New Roman"/>
        </w:rPr>
        <w:t>10</w:t>
      </w:r>
      <w:r>
        <w:rPr>
          <w:rFonts w:cs="Times New Roman"/>
        </w:rPr>
        <w:t>。持续失效比例为</w:t>
      </w:r>
      <w:r>
        <w:rPr>
          <w:rFonts w:cs="Times New Roman"/>
        </w:rPr>
        <w:t>0.7</w:t>
      </w:r>
      <w:r>
        <w:rPr>
          <w:rFonts w:cs="Times New Roman"/>
        </w:rPr>
        <w:t>，回归比例为</w:t>
      </w:r>
      <w:r>
        <w:rPr>
          <w:rFonts w:cs="Times New Roman"/>
        </w:rPr>
        <w:t>0.3</w:t>
      </w:r>
      <w:r>
        <w:rPr>
          <w:rFonts w:cs="Times New Roman"/>
        </w:rPr>
        <w:t>；在</w:t>
      </w:r>
      <m:oMath>
        <m:sSub>
          <m:sSubPr>
            <m:ctrlPr>
              <w:rPr>
                <w:rFonts w:ascii="Cambria Math" w:hAnsi="Cambria Math"/>
              </w:rPr>
            </m:ctrlPr>
          </m:sSubPr>
          <m:e>
            <m:r>
              <w:rPr>
                <w:rFonts w:ascii="Cambria Math" w:hAnsi="Cambria Math"/>
              </w:rPr>
              <m:t>λ</m:t>
            </m:r>
          </m:e>
          <m:sub>
            <m:r>
              <w:rPr>
                <w:rFonts w:ascii="Cambria Math" w:hAnsi="Cambria Math"/>
              </w:rPr>
              <m:t>r</m:t>
            </m:r>
          </m:sub>
        </m:sSub>
      </m:oMath>
      <w:r>
        <w:rPr>
          <w:rFonts w:cs="Times New Roman"/>
        </w:rPr>
        <w:t>为</w:t>
      </w:r>
      <w:r>
        <w:rPr>
          <w:rFonts w:cs="Times New Roman"/>
        </w:rPr>
        <w:t>2</w:t>
      </w:r>
      <w:r>
        <w:rPr>
          <w:rFonts w:cs="Times New Roman"/>
        </w:rPr>
        <w:t>且不增加新区域权重时，区域分数为</w:t>
      </w:r>
      <w:r>
        <w:rPr>
          <w:rFonts w:cs="Times New Roman"/>
        </w:rPr>
        <w:t>1.3</w:t>
      </w:r>
      <w:r>
        <w:rPr>
          <w:rFonts w:cs="Times New Roman"/>
        </w:rPr>
        <w:t>。该反馈使新增回归对后续测试产生正向需求，即使总体失效数量没有增加。</w:t>
      </w:r>
    </w:p>
    <w:p w14:paraId="4C738AC1" w14:textId="77777777" w:rsidR="00083274" w:rsidRDefault="00CD44F7">
      <w:pPr>
        <w:pStyle w:val="1"/>
        <w:keepLines w:val="0"/>
      </w:pPr>
      <w:r>
        <w:rPr>
          <w:rFonts w:cs="Times New Roman"/>
        </w:rPr>
        <w:t xml:space="preserve">9 </w:t>
      </w:r>
      <w:r>
        <w:rPr>
          <w:rFonts w:cs="Times New Roman"/>
        </w:rPr>
        <w:t>替代实施方式及应用范围</w:t>
      </w:r>
    </w:p>
    <w:p w14:paraId="079EE209" w14:textId="77777777" w:rsidR="00083274" w:rsidRDefault="00CD44F7">
      <w:r>
        <w:rPr>
          <w:rFonts w:cs="Times New Roman"/>
        </w:rPr>
        <w:t>测试实例可以来自自然驾驶记录、参数化场景库、已有测试生成器或人工配置。局部连续候选可采用网格、随机扰动或受约束搜索；已经具有邻域关系的外部测试库可直接提供两端输入，由本方法完成一致性与基准结果确认。只有重放能力而不暴露可变坐标的仿真器，可使用外部已构造的邻域输入。</w:t>
      </w:r>
    </w:p>
    <w:p w14:paraId="75523787" w14:textId="77777777" w:rsidR="00083274" w:rsidRDefault="00CD44F7">
      <w:pPr>
        <w:keepNext/>
      </w:pPr>
      <w:r>
        <w:rPr>
          <w:rFonts w:cs="Times New Roman"/>
        </w:rPr>
        <w:t>另一实施方式对区域四类计数采用共同分母，保留持续失效和回归失效的非负加权：</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198"/>
        <w:gridCol w:w="8023"/>
        <w:gridCol w:w="680"/>
      </w:tblGrid>
      <w:tr w:rsidR="00083274" w14:paraId="3EA8EFF0" w14:textId="77777777">
        <w:trPr>
          <w:cantSplit/>
          <w:jc w:val="center"/>
        </w:trPr>
        <w:tc>
          <w:tcPr>
            <w:tcW w:w="198" w:type="dxa"/>
            <w:tcMar>
              <w:top w:w="0" w:type="dxa"/>
              <w:left w:w="0" w:type="dxa"/>
              <w:bottom w:w="0" w:type="dxa"/>
              <w:right w:w="0" w:type="dxa"/>
            </w:tcMar>
            <w:vAlign w:val="center"/>
          </w:tcPr>
          <w:p w14:paraId="6E292216" w14:textId="77777777" w:rsidR="00083274" w:rsidRDefault="00083274">
            <w:pPr>
              <w:keepNext/>
              <w:keepLines/>
              <w:spacing w:before="80" w:after="100" w:line="480" w:lineRule="atLeast"/>
              <w:ind w:firstLine="0"/>
            </w:pPr>
          </w:p>
        </w:tc>
        <w:tc>
          <w:tcPr>
            <w:tcW w:w="8022" w:type="dxa"/>
            <w:tcMar>
              <w:top w:w="0" w:type="dxa"/>
              <w:left w:w="0" w:type="dxa"/>
              <w:bottom w:w="0" w:type="dxa"/>
              <w:right w:w="0" w:type="dxa"/>
            </w:tcMar>
            <w:vAlign w:val="center"/>
          </w:tcPr>
          <w:p w14:paraId="3B0DA37F" w14:textId="77777777" w:rsidR="00083274" w:rsidRDefault="00CD44F7">
            <w:pPr>
              <w:keepNext/>
              <w:keepLines/>
              <w:spacing w:before="80" w:after="100" w:line="480" w:lineRule="atLeast"/>
              <w:ind w:firstLine="0"/>
              <w:jc w:val="right"/>
            </w:pPr>
            <m:oMathPara>
              <m:oMathParaPr>
                <m:jc m:val="right"/>
              </m:oMathParaPr>
              <m:oMath>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ν</m:t>
                    </m:r>
                  </m:sub>
                </m:sSub>
                <m:sSub>
                  <m:sSubPr>
                    <m:ctrlPr>
                      <w:rPr>
                        <w:rFonts w:ascii="Cambria Math" w:hAnsi="Cambria Math"/>
                      </w:rPr>
                    </m:ctrlPr>
                  </m:sSubPr>
                  <m:e>
                    <m:r>
                      <w:rPr>
                        <w:rFonts w:ascii="Cambria Math" w:hAnsi="Cambria Math"/>
                      </w:rPr>
                      <m:t>ν</m:t>
                    </m:r>
                  </m:e>
                  <m:sub>
                    <m:r>
                      <w:rPr>
                        <w:rFonts w:ascii="Cambria Math" w:hAnsi="Cambria Math"/>
                      </w:rPr>
                      <m:t>g</m:t>
                    </m:r>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11</m:t>
                            </m:r>
                          </m:sub>
                        </m:sSub>
                      </m:e>
                      <m:sup>
                        <m:r>
                          <w:rPr>
                            <w:rFonts w:ascii="Cambria Math" w:hAnsi="Cambria Math"/>
                          </w:rPr>
                          <m:t>g</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01</m:t>
                            </m:r>
                          </m:sub>
                        </m:sSub>
                      </m:e>
                      <m:sup>
                        <m:r>
                          <w:rPr>
                            <w:rFonts w:ascii="Cambria Math" w:hAnsi="Cambria Math"/>
                          </w:rPr>
                          <m:t>g</m:t>
                        </m:r>
                      </m:sup>
                    </m:sSup>
                  </m:num>
                  <m:den>
                    <m:nary>
                      <m:naryPr>
                        <m:chr m:val="∑"/>
                        <m:limLoc m:val="subSup"/>
                        <m:supHide m:val="1"/>
                        <m:ctrlPr>
                          <w:rPr>
                            <w:rFonts w:ascii="Cambria Math" w:hAnsi="Cambria Math"/>
                          </w:rPr>
                        </m:ctrlPr>
                      </m:naryPr>
                      <m:sub>
                        <m:r>
                          <w:rPr>
                            <w:rFonts w:ascii="Cambria Math" w:hAnsi="Cambria Math"/>
                          </w:rPr>
                          <m:t>a</m:t>
                        </m:r>
                        <m:r>
                          <w:rPr>
                            <w:rFonts w:ascii="Cambria Math" w:hAnsi="Cambria Math"/>
                          </w:rPr>
                          <m:t>,</m:t>
                        </m:r>
                        <m:r>
                          <w:rPr>
                            <w:rFonts w:ascii="Cambria Math" w:hAnsi="Cambria Math"/>
                          </w:rPr>
                          <m:t>b</m:t>
                        </m:r>
                        <m:r>
                          <w:rPr>
                            <w:rFonts w:ascii="Cambria Math" w:hAnsi="Cambria Math"/>
                          </w:rPr>
                          <m:t>∈{0,1}</m:t>
                        </m:r>
                      </m:sub>
                      <m:sup/>
                      <m:e>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ab</m:t>
                                </m:r>
                              </m:sub>
                            </m:sSub>
                          </m:e>
                          <m:sup>
                            <m:r>
                              <w:rPr>
                                <w:rFonts w:ascii="Cambria Math" w:hAnsi="Cambria Math"/>
                              </w:rPr>
                              <m:t>g</m:t>
                            </m:r>
                          </m:sup>
                        </m:sSup>
                      </m:e>
                    </m:nary>
                  </m:den>
                </m:f>
              </m:oMath>
            </m:oMathPara>
          </w:p>
        </w:tc>
        <w:tc>
          <w:tcPr>
            <w:tcW w:w="680" w:type="dxa"/>
            <w:tcMar>
              <w:top w:w="0" w:type="dxa"/>
              <w:left w:w="0" w:type="dxa"/>
              <w:bottom w:w="0" w:type="dxa"/>
              <w:right w:w="0" w:type="dxa"/>
            </w:tcMar>
            <w:vAlign w:val="center"/>
          </w:tcPr>
          <w:p w14:paraId="15462292" w14:textId="77777777" w:rsidR="00083274" w:rsidRDefault="00CD44F7">
            <w:pPr>
              <w:keepNext/>
              <w:keepLines/>
              <w:spacing w:before="80" w:after="100" w:line="480" w:lineRule="atLeast"/>
              <w:ind w:firstLine="0"/>
              <w:jc w:val="right"/>
            </w:pPr>
            <w:r>
              <w:rPr>
                <w:rFonts w:cs="Times New Roman"/>
              </w:rPr>
              <w:t>(10)</w:t>
            </w:r>
          </w:p>
        </w:tc>
      </w:tr>
    </w:tbl>
    <w:p w14:paraId="7209AD2A" w14:textId="77777777" w:rsidR="00083274" w:rsidRDefault="00CD44F7">
      <w:r>
        <w:rPr>
          <w:rFonts w:cs="Times New Roman"/>
        </w:rPr>
        <w:t>共同分母方式是替代统计实施，其两类实例数量变化会改变反馈的相对权重，适合需保留集合组成作用的场合；优选分组方式使各类反馈分母相互独立，用于分别控制两类问题的权重。共同分母方式不具有这一分母独立性。两种方式均保留当前基准确认、固定区域集合、完整输入版本配对以及实际预算执行关系，统计方式在本轮执行前确定。</w:t>
      </w:r>
    </w:p>
    <w:p w14:paraId="7845226F" w14:textId="77777777" w:rsidR="00083274" w:rsidRDefault="00CD44F7">
      <w:r>
        <w:rPr>
          <w:rFonts w:cs="Times New Roman"/>
        </w:rPr>
        <w:t>区域可采用预设交通类别、交互关系网格或聚类形成；新区域加权可不使用。预算可表示为物理步数、执行时长或统一成本单位，区域份额也可转换为任务优先队列。多版本比较可将指定版本对分别处理，分别保存比较集合及反馈，避免混合不同基准的计数。</w:t>
      </w:r>
    </w:p>
    <w:p w14:paraId="0F46F809" w14:textId="77777777" w:rsidR="00083274" w:rsidRDefault="00CD44F7">
      <w:r>
        <w:rPr>
          <w:rFonts w:cs="Times New Roman"/>
        </w:rPr>
        <w:t>本方法适用于高速公路跟驰与切入、城市道路让行、交叉口冲突等自动驾驶闭环测试，适用于人工更新、规则调整或训练更新后的策略版本。附加修复模块可以使用邻域档案，但策略自主训练不是本方法实施的必要条件。</w:t>
      </w:r>
    </w:p>
    <w:p w14:paraId="30A6208D" w14:textId="77777777" w:rsidR="00083274" w:rsidRDefault="00CD44F7">
      <w:pPr>
        <w:pStyle w:val="1"/>
        <w:keepLines w:val="0"/>
        <w:pageBreakBefore/>
      </w:pPr>
      <w:r>
        <w:rPr>
          <w:rFonts w:cs="Times New Roman"/>
        </w:rPr>
        <w:lastRenderedPageBreak/>
        <w:t xml:space="preserve">10 </w:t>
      </w:r>
      <w:r>
        <w:rPr>
          <w:rFonts w:cs="Times New Roman"/>
        </w:rPr>
        <w:t>附图及说明</w:t>
      </w:r>
    </w:p>
    <w:p w14:paraId="703B8C4C" w14:textId="77777777" w:rsidR="00083274" w:rsidRDefault="00CD44F7">
      <w:r>
        <w:rPr>
          <w:rFonts w:cs="Times New Roman"/>
        </w:rPr>
        <w:t>图</w:t>
      </w:r>
      <w:r>
        <w:rPr>
          <w:rFonts w:cs="Times New Roman"/>
        </w:rPr>
        <w:t>1—</w:t>
      </w:r>
      <w:r>
        <w:rPr>
          <w:rFonts w:cs="Times New Roman"/>
        </w:rPr>
        <w:t>图</w:t>
      </w:r>
      <w:r>
        <w:rPr>
          <w:rFonts w:cs="Times New Roman"/>
        </w:rPr>
        <w:t>4</w:t>
      </w:r>
      <w:r>
        <w:rPr>
          <w:rFonts w:cs="Times New Roman"/>
        </w:rPr>
        <w:t>分别说明总体调度过程、局部邻域构造、当前基准确认与版本分类、区域反馈及预算执行。图中模块编号</w:t>
      </w:r>
      <w:r>
        <w:rPr>
          <w:rFonts w:cs="Times New Roman"/>
        </w:rPr>
        <w:t>201—206</w:t>
      </w:r>
      <w:r>
        <w:rPr>
          <w:rFonts w:cs="Times New Roman"/>
        </w:rPr>
        <w:t>依次表示实例接入与恢复、局部邻域管理、基准确认与配对执行、区域结果统计、测试资源分配和仿真执行。</w:t>
      </w:r>
    </w:p>
    <w:p w14:paraId="37823FF6" w14:textId="77777777" w:rsidR="00083274" w:rsidRDefault="00CD44F7">
      <w:pPr>
        <w:pStyle w:val="af7"/>
      </w:pPr>
      <w:r>
        <w:rPr>
          <w:rFonts w:cs="Times New Roman"/>
        </w:rPr>
        <w:t>图</w:t>
      </w:r>
      <w:r>
        <w:rPr>
          <w:rFonts w:cs="Times New Roman"/>
        </w:rPr>
        <w:t xml:space="preserve">1 </w:t>
      </w:r>
      <w:r>
        <w:rPr>
          <w:rFonts w:cs="Times New Roman"/>
        </w:rPr>
        <w:t>方法总体流程</w:t>
      </w:r>
    </w:p>
    <w:p w14:paraId="1ADCA00E" w14:textId="77777777" w:rsidR="00083274" w:rsidRDefault="00CD44F7">
      <w:pPr>
        <w:keepNext/>
        <w:spacing w:after="160" w:line="240" w:lineRule="auto"/>
        <w:ind w:firstLine="0"/>
        <w:jc w:val="center"/>
      </w:pPr>
      <w:r>
        <w:rPr>
          <w:noProof/>
        </w:rPr>
        <w:drawing>
          <wp:inline distT="0" distB="0" distL="0" distR="0" wp14:anchorId="2FDFD4E1" wp14:editId="38F68A7D">
            <wp:extent cx="5495271" cy="6299999"/>
            <wp:effectExtent l="0" t="0" r="0" b="0"/>
            <wp:docPr id="1" name="图1 方法总体流程" descr="方法总体流程。接入外部实例和策略版本，建立邻域档案，确认基准结果并固定区域成员；配对反馈形成后续区域分配，新增实际失效直接进入档案。策略训练作为可选外部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extLst>
                        <a:ext uri="{96DAC541-7B7A-43D3-8B79-37D633B846F1}">
                          <asvg:svgBlip xmlns:asvg="http://schemas.microsoft.com/office/drawing/2016/SVG/main" r:embed="rId9"/>
                        </a:ext>
                      </a:extLst>
                    </a:blip>
                    <a:stretch>
                      <a:fillRect/>
                    </a:stretch>
                  </pic:blipFill>
                  <pic:spPr>
                    <a:xfrm>
                      <a:off x="0" y="0"/>
                      <a:ext cx="5495271" cy="6299999"/>
                    </a:xfrm>
                    <a:prstGeom prst="rect">
                      <a:avLst/>
                    </a:prstGeom>
                  </pic:spPr>
                </pic:pic>
              </a:graphicData>
            </a:graphic>
          </wp:inline>
        </w:drawing>
      </w:r>
    </w:p>
    <w:p w14:paraId="1CF4EAD7" w14:textId="77777777" w:rsidR="00083274" w:rsidRDefault="00CD44F7">
      <w:pPr>
        <w:keepLines/>
        <w:ind w:firstLine="0"/>
      </w:pPr>
      <w:r>
        <w:rPr>
          <w:rFonts w:cs="Times New Roman"/>
        </w:rPr>
        <w:t>接入外部实例和策略版本，建立邻域档案，确认基准结果并固定区域成员；配对反馈形成后续区域分配，新增实际失效直接进入档案。策略训练作为可选外部过程。</w:t>
      </w:r>
    </w:p>
    <w:p w14:paraId="7AE204F5" w14:textId="77777777" w:rsidR="00083274" w:rsidRDefault="00083274">
      <w:pPr>
        <w:pageBreakBefore/>
        <w:spacing w:after="0" w:line="20" w:lineRule="exact"/>
      </w:pPr>
    </w:p>
    <w:p w14:paraId="4BE51673" w14:textId="77777777" w:rsidR="00083274" w:rsidRDefault="00CD44F7">
      <w:pPr>
        <w:pStyle w:val="af7"/>
      </w:pPr>
      <w:r>
        <w:rPr>
          <w:rFonts w:cs="Times New Roman"/>
        </w:rPr>
        <w:t>图</w:t>
      </w:r>
      <w:r>
        <w:rPr>
          <w:rFonts w:cs="Times New Roman"/>
        </w:rPr>
        <w:t xml:space="preserve">2 </w:t>
      </w:r>
      <w:r>
        <w:rPr>
          <w:rFonts w:cs="Times New Roman"/>
        </w:rPr>
        <w:t>受控局部邻域构造与归档</w:t>
      </w:r>
    </w:p>
    <w:p w14:paraId="2E9B25E6" w14:textId="77777777" w:rsidR="00083274" w:rsidRDefault="00CD44F7">
      <w:pPr>
        <w:keepNext/>
        <w:spacing w:after="160" w:line="240" w:lineRule="auto"/>
        <w:ind w:firstLine="0"/>
        <w:jc w:val="center"/>
      </w:pPr>
      <w:r>
        <w:rPr>
          <w:noProof/>
        </w:rPr>
        <w:drawing>
          <wp:inline distT="0" distB="0" distL="0" distR="0" wp14:anchorId="652BB393" wp14:editId="58950A42">
            <wp:extent cx="5652000" cy="6479680"/>
            <wp:effectExtent l="0" t="0" r="0" b="0"/>
            <wp:docPr id="2" name="图2 受控局部邻域构造与归档" descr="受控局部邻域构造与归档。固定事件、非选中输入和基准策略，经实际执行取得失效与成功端点，再按中间候选的实际结果替换同类端点；原失效和最终端点分别保存完整输入并建立链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0">
                      <a:extLst>
                        <a:ext uri="{96DAC541-7B7A-43D3-8B79-37D633B846F1}">
                          <asvg:svgBlip xmlns:asvg="http://schemas.microsoft.com/office/drawing/2016/SVG/main" r:embed="rId11"/>
                        </a:ext>
                      </a:extLst>
                    </a:blip>
                    <a:stretch>
                      <a:fillRect/>
                    </a:stretch>
                  </pic:blipFill>
                  <pic:spPr>
                    <a:xfrm>
                      <a:off x="0" y="0"/>
                      <a:ext cx="5652000" cy="6479680"/>
                    </a:xfrm>
                    <a:prstGeom prst="rect">
                      <a:avLst/>
                    </a:prstGeom>
                  </pic:spPr>
                </pic:pic>
              </a:graphicData>
            </a:graphic>
          </wp:inline>
        </w:drawing>
      </w:r>
    </w:p>
    <w:p w14:paraId="1109C685" w14:textId="77777777" w:rsidR="00083274" w:rsidRDefault="00CD44F7">
      <w:pPr>
        <w:keepLines/>
        <w:ind w:firstLine="0"/>
      </w:pPr>
      <w:r>
        <w:rPr>
          <w:rFonts w:cs="Times New Roman"/>
        </w:rPr>
        <w:t>固定事件、非选中输入和基准策略，经实际执行取得失效与成功端点，再按中间候选的实际结果替换同类端点；原失效和最终端点分别保存完整输入并建立链接。</w:t>
      </w:r>
    </w:p>
    <w:p w14:paraId="3F118740" w14:textId="77777777" w:rsidR="00083274" w:rsidRDefault="00083274">
      <w:pPr>
        <w:pageBreakBefore/>
        <w:spacing w:after="0" w:line="20" w:lineRule="exact"/>
      </w:pPr>
    </w:p>
    <w:p w14:paraId="1E7E7F2A" w14:textId="77777777" w:rsidR="00083274" w:rsidRDefault="00CD44F7">
      <w:pPr>
        <w:pStyle w:val="af7"/>
      </w:pPr>
      <w:r>
        <w:rPr>
          <w:rFonts w:cs="Times New Roman"/>
        </w:rPr>
        <w:t>图</w:t>
      </w:r>
      <w:r>
        <w:rPr>
          <w:rFonts w:cs="Times New Roman"/>
        </w:rPr>
        <w:t xml:space="preserve">3 </w:t>
      </w:r>
      <w:r>
        <w:rPr>
          <w:rFonts w:cs="Times New Roman"/>
        </w:rPr>
        <w:t>本轮基准确认与版本结果分类</w:t>
      </w:r>
    </w:p>
    <w:p w14:paraId="75E12AB9" w14:textId="77777777" w:rsidR="00083274" w:rsidRDefault="00CD44F7">
      <w:pPr>
        <w:keepNext/>
        <w:spacing w:after="160" w:line="240" w:lineRule="auto"/>
        <w:ind w:firstLine="0"/>
        <w:jc w:val="center"/>
      </w:pPr>
      <w:r>
        <w:rPr>
          <w:noProof/>
        </w:rPr>
        <w:drawing>
          <wp:inline distT="0" distB="0" distL="0" distR="0" wp14:anchorId="68B7697B" wp14:editId="5F5675EA">
            <wp:extent cx="5652000" cy="6479680"/>
            <wp:effectExtent l="0" t="0" r="0" b="0"/>
            <wp:docPr id="3" name="图3 本轮基准确认与版本结果分类" descr="本轮基准确认与版本结果分类。历史来源仅用于追溯，按本轮基准实际结果确定统计行；各实例跨版本固定自身完整输入和配置，在固定区域中形成持续成功、回归失效、失效解除及持续失效四类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2">
                      <a:extLst>
                        <a:ext uri="{96DAC541-7B7A-43D3-8B79-37D633B846F1}">
                          <asvg:svgBlip xmlns:asvg="http://schemas.microsoft.com/office/drawing/2016/SVG/main" r:embed="rId13"/>
                        </a:ext>
                      </a:extLst>
                    </a:blip>
                    <a:stretch>
                      <a:fillRect/>
                    </a:stretch>
                  </pic:blipFill>
                  <pic:spPr>
                    <a:xfrm>
                      <a:off x="0" y="0"/>
                      <a:ext cx="5652000" cy="6479680"/>
                    </a:xfrm>
                    <a:prstGeom prst="rect">
                      <a:avLst/>
                    </a:prstGeom>
                  </pic:spPr>
                </pic:pic>
              </a:graphicData>
            </a:graphic>
          </wp:inline>
        </w:drawing>
      </w:r>
    </w:p>
    <w:p w14:paraId="5A30EB73" w14:textId="77777777" w:rsidR="00083274" w:rsidRDefault="00CD44F7">
      <w:pPr>
        <w:keepLines/>
        <w:ind w:firstLine="0"/>
      </w:pPr>
      <w:r>
        <w:rPr>
          <w:rFonts w:cs="Times New Roman"/>
        </w:rPr>
        <w:t>历史来源仅用于追溯，按本轮基准实际结果确定统计行；各实例跨版本固定自身完整输入和配置，在固定区域中形成持续成功、回归失效、失效解除及持续失效四类记录。</w:t>
      </w:r>
    </w:p>
    <w:p w14:paraId="21C57884" w14:textId="77777777" w:rsidR="00083274" w:rsidRDefault="00083274">
      <w:pPr>
        <w:pageBreakBefore/>
        <w:spacing w:after="0" w:line="20" w:lineRule="exact"/>
      </w:pPr>
    </w:p>
    <w:p w14:paraId="2FAD1C59" w14:textId="77777777" w:rsidR="00083274" w:rsidRDefault="00CD44F7">
      <w:pPr>
        <w:pStyle w:val="af7"/>
      </w:pPr>
      <w:r>
        <w:rPr>
          <w:rFonts w:cs="Times New Roman"/>
        </w:rPr>
        <w:t>图</w:t>
      </w:r>
      <w:r>
        <w:rPr>
          <w:rFonts w:cs="Times New Roman"/>
        </w:rPr>
        <w:t xml:space="preserve">4 </w:t>
      </w:r>
      <w:r>
        <w:rPr>
          <w:rFonts w:cs="Times New Roman"/>
        </w:rPr>
        <w:t>分组反馈与测试预算分配</w:t>
      </w:r>
    </w:p>
    <w:p w14:paraId="1F25453F" w14:textId="77777777" w:rsidR="00083274" w:rsidRDefault="00CD44F7">
      <w:pPr>
        <w:keepNext/>
        <w:spacing w:after="160" w:line="240" w:lineRule="auto"/>
        <w:ind w:firstLine="0"/>
        <w:jc w:val="center"/>
      </w:pPr>
      <w:r>
        <w:rPr>
          <w:noProof/>
        </w:rPr>
        <w:drawing>
          <wp:inline distT="0" distB="0" distL="0" distR="0" wp14:anchorId="12F670DF" wp14:editId="1354CCD8">
            <wp:extent cx="5652000" cy="6479680"/>
            <wp:effectExtent l="0" t="0" r="0" b="0"/>
            <wp:docPr id="4" name="图4 分组反馈与测试预算分配" descr="分组反馈与测试预算分配。持续失效和回归失效分别使用基准失效组、基准成功组归一化，以非负权重形成区域份额；未观测类别有限补测，另预留新事件探索，并将所得分配用于实际仿真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4">
                      <a:extLst>
                        <a:ext uri="{96DAC541-7B7A-43D3-8B79-37D633B846F1}">
                          <asvg:svgBlip xmlns:asvg="http://schemas.microsoft.com/office/drawing/2016/SVG/main" r:embed="rId15"/>
                        </a:ext>
                      </a:extLst>
                    </a:blip>
                    <a:stretch>
                      <a:fillRect/>
                    </a:stretch>
                  </pic:blipFill>
                  <pic:spPr>
                    <a:xfrm>
                      <a:off x="0" y="0"/>
                      <a:ext cx="5652000" cy="6479680"/>
                    </a:xfrm>
                    <a:prstGeom prst="rect">
                      <a:avLst/>
                    </a:prstGeom>
                  </pic:spPr>
                </pic:pic>
              </a:graphicData>
            </a:graphic>
          </wp:inline>
        </w:drawing>
      </w:r>
    </w:p>
    <w:p w14:paraId="73DE3D3A" w14:textId="77777777" w:rsidR="00083274" w:rsidRDefault="00CD44F7">
      <w:pPr>
        <w:keepLines/>
        <w:ind w:firstLine="0"/>
      </w:pPr>
      <w:r>
        <w:rPr>
          <w:rFonts w:cs="Times New Roman"/>
        </w:rPr>
        <w:t>持续失效和回归失效分别使用基准失效组、基准成功组归一化，以非负权重形成区域份额；未观测类别有限补测，另预留新事件探索，并将所得分配用于实际仿真执行。</w:t>
      </w:r>
    </w:p>
    <w:sectPr w:rsidR="00083274" w:rsidSect="00034616">
      <w:footerReference w:type="default" r:id="rId16"/>
      <w:pgSz w:w="11906" w:h="16838"/>
      <w:pgMar w:top="1440" w:right="1417" w:bottom="1440" w:left="1587" w:header="85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4D0B" w14:textId="77777777" w:rsidR="00CD44F7" w:rsidRDefault="00CD44F7">
      <w:pPr>
        <w:spacing w:after="0" w:line="240" w:lineRule="auto"/>
      </w:pPr>
      <w:r>
        <w:separator/>
      </w:r>
    </w:p>
  </w:endnote>
  <w:endnote w:type="continuationSeparator" w:id="0">
    <w:p w14:paraId="15A111A9" w14:textId="77777777" w:rsidR="00CD44F7" w:rsidRDefault="00CD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CEA" w14:textId="77777777" w:rsidR="00083274" w:rsidRDefault="00CD44F7">
    <w:pPr>
      <w:pStyle w:val="a7"/>
      <w:ind w:firstLine="0"/>
      <w:jc w:val="center"/>
    </w:pPr>
    <w:r>
      <w:rPr>
        <w:rFonts w:cs="Times New Roman"/>
        <w:sz w:val="18"/>
      </w:rPr>
      <w:fldChar w:fldCharType="begin"/>
    </w:r>
    <w:r>
      <w:rPr>
        <w:rFonts w:cs="Times New Roman"/>
        <w:sz w:val="18"/>
      </w:rPr>
      <w:instrText xml:space="preserve"> PAGE </w:instrText>
    </w:r>
    <w:r>
      <w:rPr>
        <w:rFonts w:cs="Times New Roman"/>
        <w:sz w:val="18"/>
      </w:rPr>
      <w:fldChar w:fldCharType="separate"/>
    </w:r>
    <w:r>
      <w:rPr>
        <w:rFonts w:cs="Times New Roman"/>
        <w:sz w:val="18"/>
      </w:rPr>
      <w:t>1</w:t>
    </w:r>
    <w:r>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B1C67" w14:textId="77777777" w:rsidR="00CD44F7" w:rsidRDefault="00CD44F7">
      <w:pPr>
        <w:spacing w:after="0" w:line="240" w:lineRule="auto"/>
      </w:pPr>
      <w:r>
        <w:separator/>
      </w:r>
    </w:p>
  </w:footnote>
  <w:footnote w:type="continuationSeparator" w:id="0">
    <w:p w14:paraId="43961379" w14:textId="77777777" w:rsidR="00CD44F7" w:rsidRDefault="00CD4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color w:val="000000"/>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color w:val="000000"/>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color w:val="000000"/>
      </w:rPr>
    </w:lvl>
  </w:abstractNum>
  <w:num w:numId="1" w16cid:durableId="757870442">
    <w:abstractNumId w:val="8"/>
  </w:num>
  <w:num w:numId="2" w16cid:durableId="148448027">
    <w:abstractNumId w:val="6"/>
  </w:num>
  <w:num w:numId="3" w16cid:durableId="1523468842">
    <w:abstractNumId w:val="5"/>
  </w:num>
  <w:num w:numId="4" w16cid:durableId="918446229">
    <w:abstractNumId w:val="4"/>
  </w:num>
  <w:num w:numId="5" w16cid:durableId="19669480">
    <w:abstractNumId w:val="7"/>
  </w:num>
  <w:num w:numId="6" w16cid:durableId="1769886125">
    <w:abstractNumId w:val="3"/>
  </w:num>
  <w:num w:numId="7" w16cid:durableId="1493906462">
    <w:abstractNumId w:val="2"/>
  </w:num>
  <w:num w:numId="8" w16cid:durableId="1257209572">
    <w:abstractNumId w:val="1"/>
  </w:num>
  <w:num w:numId="9" w16cid:durableId="202539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274"/>
    <w:rsid w:val="0015074B"/>
    <w:rsid w:val="0029639D"/>
    <w:rsid w:val="00326F90"/>
    <w:rsid w:val="0076757E"/>
    <w:rsid w:val="00851A88"/>
    <w:rsid w:val="00AA1D8D"/>
    <w:rsid w:val="00B47730"/>
    <w:rsid w:val="00CB0664"/>
    <w:rsid w:val="00CD44F7"/>
    <w:rsid w:val="00E26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72B24"/>
  <w14:defaultImageDpi w14:val="300"/>
  <w15:docId w15:val="{742C3558-C7B4-405F-8571-F5C75890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420" w:lineRule="exact"/>
      <w:ind w:firstLine="48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line="440" w:lineRule="exact"/>
      <w:ind w:firstLine="0"/>
      <w:jc w:val="left"/>
      <w:outlineLvl w:val="0"/>
    </w:pPr>
    <w:rPr>
      <w:b/>
      <w:bCs/>
      <w:sz w:val="28"/>
      <w:szCs w:val="28"/>
    </w:rPr>
  </w:style>
  <w:style w:type="paragraph" w:styleId="21">
    <w:name w:val="heading 2"/>
    <w:basedOn w:val="a1"/>
    <w:next w:val="a1"/>
    <w:link w:val="22"/>
    <w:uiPriority w:val="9"/>
    <w:unhideWhenUsed/>
    <w:qFormat/>
    <w:rsid w:val="00FC693F"/>
    <w:pPr>
      <w:keepNext/>
      <w:keepLines/>
      <w:spacing w:before="120" w:after="80" w:line="440" w:lineRule="exact"/>
      <w:ind w:firstLine="0"/>
      <w:jc w:val="left"/>
      <w:outlineLvl w:val="1"/>
    </w:pPr>
    <w:rPr>
      <w:b/>
      <w:bCs/>
      <w:sz w:val="28"/>
      <w:szCs w:val="26"/>
    </w:rPr>
  </w:style>
  <w:style w:type="paragraph" w:styleId="31">
    <w:name w:val="heading 3"/>
    <w:basedOn w:val="a1"/>
    <w:next w:val="a1"/>
    <w:link w:val="32"/>
    <w:uiPriority w:val="9"/>
    <w:unhideWhenUsed/>
    <w:qFormat/>
    <w:rsid w:val="00FC693F"/>
    <w:pPr>
      <w:keepNext/>
      <w:keepLines/>
      <w:spacing w:before="80" w:after="60" w:line="440" w:lineRule="exact"/>
      <w:ind w:firstLine="0"/>
      <w:jc w:val="left"/>
      <w:outlineLvl w:val="2"/>
    </w:pPr>
    <w:rPr>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spacing w:after="240" w:line="440" w:lineRule="exact"/>
      <w:ind w:firstLine="0"/>
      <w:contextualSpacing/>
      <w:jc w:val="center"/>
    </w:pPr>
    <w:rPr>
      <w:b/>
      <w:spacing w:val="5"/>
      <w:kern w:val="28"/>
      <w:sz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keepNext/>
      <w:spacing w:before="120" w:after="80" w:line="440" w:lineRule="exact"/>
      <w:ind w:firstLine="0"/>
      <w:jc w:val="center"/>
    </w:pPr>
    <w:rPr>
      <w:b/>
      <w:bCs/>
      <w:sz w:val="28"/>
      <w:szCs w:val="18"/>
    </w:rPr>
  </w:style>
  <w:style w:type="character" w:styleId="af8">
    <w:name w:val="Strong"/>
    <w:basedOn w:val="a2"/>
    <w:uiPriority w:val="22"/>
    <w:qFormat/>
    <w:rsid w:val="00FC693F"/>
    <w:rPr>
      <w:b/>
      <w:bCs/>
      <w:color w:val="000000"/>
    </w:rPr>
  </w:style>
  <w:style w:type="character" w:styleId="af9">
    <w:name w:val="Emphasis"/>
    <w:basedOn w:val="a2"/>
    <w:uiPriority w:val="20"/>
    <w:qFormat/>
    <w:rsid w:val="00FC693F"/>
    <w:rPr>
      <w:i/>
      <w:iCs/>
      <w:color w:val="000000"/>
    </w:rPr>
  </w:style>
  <w:style w:type="paragraph" w:styleId="afa">
    <w:name w:val="Intense Quote"/>
    <w:basedOn w:val="a1"/>
    <w:next w:val="a1"/>
    <w:link w:val="afb"/>
    <w:uiPriority w:val="30"/>
    <w:qFormat/>
    <w:rsid w:val="00FC693F"/>
    <w:pPr>
      <w:pBdr>
        <w:bottom w:val="single" w:sz="4" w:space="4" w:color="000000" w:themeColor="accent1"/>
      </w:pBdr>
      <w:spacing w:before="200" w:after="280"/>
      <w:ind w:left="936" w:right="936"/>
    </w:pPr>
    <w:rPr>
      <w:b/>
      <w:bCs/>
      <w:i/>
      <w:iCs/>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color w:val="000000"/>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color w:val="000000"/>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color w:val="000000"/>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color w:val="000000"/>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color w:val="000000"/>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color w:val="000000"/>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color w:val="000000"/>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000000"/>
      </w:rPr>
      <w:tblPr/>
      <w:tcPr>
        <w:shd w:val="clear" w:color="auto" w:fill="000000" w:themeFill="accent1"/>
      </w:tcPr>
    </w:tblStylePr>
    <w:tblStylePr w:type="lastRow">
      <w:pPr>
        <w:spacing w:before="0" w:after="0" w:line="240" w:lineRule="auto"/>
      </w:pPr>
      <w:rPr>
        <w:b/>
        <w:bCs/>
        <w:color w:val="000000"/>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000000"/>
      </w:rPr>
      <w:tblPr/>
      <w:tcPr>
        <w:shd w:val="clear" w:color="auto" w:fill="000000" w:themeFill="accent2"/>
      </w:tcPr>
    </w:tblStylePr>
    <w:tblStylePr w:type="lastRow">
      <w:pPr>
        <w:spacing w:before="0" w:after="0" w:line="240" w:lineRule="auto"/>
      </w:pPr>
      <w:rPr>
        <w:b/>
        <w:bCs/>
        <w:color w:val="000000"/>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000000"/>
      </w:rPr>
      <w:tblPr/>
      <w:tcPr>
        <w:shd w:val="clear" w:color="auto" w:fill="000000" w:themeFill="accent3"/>
      </w:tcPr>
    </w:tblStylePr>
    <w:tblStylePr w:type="lastRow">
      <w:pPr>
        <w:spacing w:before="0" w:after="0" w:line="240" w:lineRule="auto"/>
      </w:pPr>
      <w:rPr>
        <w:b/>
        <w:bCs/>
        <w:color w:val="000000"/>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000000"/>
      </w:rPr>
      <w:tblPr/>
      <w:tcPr>
        <w:shd w:val="clear" w:color="auto" w:fill="000000" w:themeFill="accent4"/>
      </w:tcPr>
    </w:tblStylePr>
    <w:tblStylePr w:type="lastRow">
      <w:pPr>
        <w:spacing w:before="0" w:after="0" w:line="240" w:lineRule="auto"/>
      </w:pPr>
      <w:rPr>
        <w:b/>
        <w:bCs/>
        <w:color w:val="000000"/>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000000"/>
      </w:rPr>
      <w:tblPr/>
      <w:tcPr>
        <w:shd w:val="clear" w:color="auto" w:fill="000000" w:themeFill="accent5"/>
      </w:tcPr>
    </w:tblStylePr>
    <w:tblStylePr w:type="lastRow">
      <w:pPr>
        <w:spacing w:before="0" w:after="0" w:line="240" w:lineRule="auto"/>
      </w:pPr>
      <w:rPr>
        <w:b/>
        <w:bCs/>
        <w:color w:val="000000"/>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000000"/>
      </w:rPr>
      <w:tblPr/>
      <w:tcPr>
        <w:shd w:val="clear" w:color="auto" w:fill="000000" w:themeFill="accent6"/>
      </w:tcPr>
    </w:tblStylePr>
    <w:tblStylePr w:type="lastRow">
      <w:pPr>
        <w:spacing w:before="0" w:after="0" w:line="240" w:lineRule="auto"/>
      </w:pPr>
      <w:rPr>
        <w:b/>
        <w:bCs/>
        <w:color w:val="000000"/>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000000"/>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color w:val="000000"/>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000000"/>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color w:val="000000"/>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000000"/>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color w:val="000000"/>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000000"/>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color w:val="000000"/>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000000"/>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color w:val="000000"/>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000000"/>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color w:val="000000"/>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000000"/>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000000"/>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000000"/>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000000"/>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000000"/>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000000"/>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color w:val="000000"/>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color w:val="000000"/>
      </w:rPr>
    </w:tblStylePr>
    <w:tblStylePr w:type="lastCol">
      <w:rPr>
        <w:b/>
        <w:bCs/>
        <w:color w:val="000000"/>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color w:val="000000"/>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color w:val="000000"/>
      </w:rPr>
    </w:tblStylePr>
    <w:tblStylePr w:type="lastCol">
      <w:rPr>
        <w:b/>
        <w:bCs/>
        <w:color w:val="000000"/>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color w:val="000000"/>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color w:val="000000"/>
      </w:rPr>
    </w:tblStylePr>
    <w:tblStylePr w:type="lastCol">
      <w:rPr>
        <w:b/>
        <w:bCs/>
        <w:color w:val="000000"/>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color w:val="000000"/>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color w:val="000000"/>
      </w:rPr>
    </w:tblStylePr>
    <w:tblStylePr w:type="lastCol">
      <w:rPr>
        <w:b/>
        <w:bCs/>
        <w:color w:val="000000"/>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color w:val="000000"/>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color w:val="000000"/>
      </w:rPr>
    </w:tblStylePr>
    <w:tblStylePr w:type="lastCol">
      <w:rPr>
        <w:b/>
        <w:bCs/>
        <w:color w:val="000000"/>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color w:val="000000"/>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color w:val="000000"/>
      </w:rPr>
    </w:tblStylePr>
    <w:tblStylePr w:type="lastCol">
      <w:rPr>
        <w:b/>
        <w:bCs/>
        <w:color w:val="000000"/>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color w:val="000000"/>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color w:val="000000"/>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color w:val="000000"/>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color w:val="000000"/>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color w:val="000000"/>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color w:val="000000"/>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color w:val="000000"/>
      </w:rPr>
    </w:tblStylePr>
    <w:tblStylePr w:type="lastRow">
      <w:rPr>
        <w:b/>
        <w:bCs/>
        <w:color w:val="000000"/>
      </w:rPr>
      <w:tblPr/>
      <w:tcPr>
        <w:tcBorders>
          <w:top w:val="single" w:sz="18" w:space="0" w:color="404040"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color w:val="000000"/>
      </w:rPr>
    </w:tblStylePr>
    <w:tblStylePr w:type="lastRow">
      <w:rPr>
        <w:b/>
        <w:bCs/>
        <w:color w:val="000000"/>
      </w:rPr>
      <w:tblPr/>
      <w:tcPr>
        <w:tcBorders>
          <w:top w:val="single" w:sz="18" w:space="0" w:color="404040"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color w:val="000000"/>
      </w:rPr>
    </w:tblStylePr>
    <w:tblStylePr w:type="lastRow">
      <w:rPr>
        <w:b/>
        <w:bCs/>
        <w:color w:val="000000"/>
      </w:rPr>
      <w:tblPr/>
      <w:tcPr>
        <w:tcBorders>
          <w:top w:val="single" w:sz="18" w:space="0" w:color="404040"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color w:val="000000"/>
      </w:rPr>
    </w:tblStylePr>
    <w:tblStylePr w:type="lastRow">
      <w:rPr>
        <w:b/>
        <w:bCs/>
        <w:color w:val="000000"/>
      </w:rPr>
      <w:tblPr/>
      <w:tcPr>
        <w:tcBorders>
          <w:top w:val="single" w:sz="18" w:space="0" w:color="404040"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color w:val="000000"/>
      </w:rPr>
    </w:tblStylePr>
    <w:tblStylePr w:type="lastRow">
      <w:rPr>
        <w:b/>
        <w:bCs/>
        <w:color w:val="000000"/>
      </w:rPr>
      <w:tblPr/>
      <w:tcPr>
        <w:tcBorders>
          <w:top w:val="single" w:sz="18" w:space="0" w:color="404040"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color w:val="000000"/>
      </w:rPr>
    </w:tblStylePr>
    <w:tblStylePr w:type="lastRow">
      <w:rPr>
        <w:b/>
        <w:bCs/>
        <w:color w:val="000000"/>
      </w:rPr>
      <w:tblPr/>
      <w:tcPr>
        <w:tcBorders>
          <w:top w:val="single" w:sz="18" w:space="0" w:color="404040"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rPr>
      <w:tblPr/>
      <w:tcPr>
        <w:shd w:val="clear" w:color="auto" w:fill="E6E6E6"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rPr>
      <w:tblPr/>
      <w:tcPr>
        <w:shd w:val="clear" w:color="auto" w:fill="E6E6E6"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rPr>
      <w:tblPr/>
      <w:tcPr>
        <w:shd w:val="clear" w:color="auto" w:fill="E6E6E6"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rPr>
      <w:tblPr/>
      <w:tcPr>
        <w:shd w:val="clear" w:color="auto" w:fill="E6E6E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rPr>
      <w:tblPr/>
      <w:tcPr>
        <w:shd w:val="clear" w:color="auto" w:fill="E6E6E6"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rPr>
      <w:tblPr/>
      <w:tcPr>
        <w:shd w:val="clear" w:color="auto" w:fill="E6E6E6"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000000"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000000"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000000"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000000"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000000"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000000"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color w:val="000000"/>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1" w:themeFillShade="99"/>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000000"/>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color w:val="000000"/>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2" w:themeFillShade="99"/>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000000"/>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FFFFFF" w:themeColor="background1"/>
        <w:insideV w:val="single" w:sz="4" w:space="0" w:color="FFFFFF" w:themeColor="background1"/>
      </w:tblBorders>
    </w:tblPr>
    <w:tcPr>
      <w:shd w:val="clear" w:color="auto" w:fill="E6E6E6" w:themeFill="accent3" w:themeFillTint="19"/>
    </w:tcPr>
    <w:tblStylePr w:type="firstRow">
      <w:rPr>
        <w:b/>
        <w:bCs/>
        <w:color w:val="000000"/>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3" w:themeFillShade="99"/>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000000"/>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FFFFFF" w:themeColor="background1"/>
        <w:insideV w:val="single" w:sz="4" w:space="0" w:color="FFFFFF" w:themeColor="background1"/>
      </w:tblBorders>
    </w:tblPr>
    <w:tcPr>
      <w:shd w:val="clear" w:color="auto" w:fill="E6E6E6" w:themeFill="accent4" w:themeFillTint="19"/>
    </w:tcPr>
    <w:tblStylePr w:type="firstRow">
      <w:rPr>
        <w:b/>
        <w:bCs/>
        <w:color w:val="000000"/>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4" w:themeFillShade="99"/>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000000"/>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color w:val="000000"/>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5" w:themeFillShade="99"/>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000000"/>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color w:val="000000"/>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accent6" w:themeFillShade="99"/>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000000"/>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000000"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6E6E6" w:themeFill="accent1" w:themeFillTint="19"/>
    </w:tcPr>
    <w:tblStylePr w:type="firstRow">
      <w:rPr>
        <w:b/>
        <w:bCs/>
        <w:color w:val="000000"/>
      </w:rPr>
      <w:tblPr/>
      <w:tcPr>
        <w:tcBorders>
          <w:bottom w:val="single" w:sz="12" w:space="0" w:color="FFFFFF" w:themeColor="background1"/>
        </w:tcBorders>
        <w:shd w:val="clear" w:color="auto" w:fill="000000"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E6E6E6" w:themeFill="accent2" w:themeFillTint="19"/>
    </w:tcPr>
    <w:tblStylePr w:type="firstRow">
      <w:rPr>
        <w:b/>
        <w:bCs/>
        <w:color w:val="000000"/>
      </w:rPr>
      <w:tblPr/>
      <w:tcPr>
        <w:tcBorders>
          <w:bottom w:val="single" w:sz="12" w:space="0" w:color="FFFFFF" w:themeColor="background1"/>
        </w:tcBorders>
        <w:shd w:val="clear" w:color="auto" w:fill="000000"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E6E6E6" w:themeFill="accent3" w:themeFillTint="19"/>
    </w:tcPr>
    <w:tblStylePr w:type="firstRow">
      <w:rPr>
        <w:b/>
        <w:bCs/>
        <w:color w:val="000000"/>
      </w:rPr>
      <w:tblPr/>
      <w:tcPr>
        <w:tcBorders>
          <w:bottom w:val="single" w:sz="12" w:space="0" w:color="FFFFFF" w:themeColor="background1"/>
        </w:tcBorders>
        <w:shd w:val="clear" w:color="auto" w:fill="000000"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E6E6E6" w:themeFill="accent4" w:themeFillTint="19"/>
    </w:tcPr>
    <w:tblStylePr w:type="firstRow">
      <w:rPr>
        <w:b/>
        <w:bCs/>
        <w:color w:val="000000"/>
      </w:rPr>
      <w:tblPr/>
      <w:tcPr>
        <w:tcBorders>
          <w:bottom w:val="single" w:sz="12" w:space="0" w:color="FFFFFF" w:themeColor="background1"/>
        </w:tcBorders>
        <w:shd w:val="clear" w:color="auto" w:fill="00000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6E6E6" w:themeFill="accent5" w:themeFillTint="19"/>
    </w:tcPr>
    <w:tblStylePr w:type="firstRow">
      <w:rPr>
        <w:b/>
        <w:bCs/>
        <w:color w:val="000000"/>
      </w:rPr>
      <w:tblPr/>
      <w:tcPr>
        <w:tcBorders>
          <w:bottom w:val="single" w:sz="12" w:space="0" w:color="FFFFFF" w:themeColor="background1"/>
        </w:tcBorders>
        <w:shd w:val="clear" w:color="auto" w:fill="000000"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E6E6E6" w:themeFill="accent6" w:themeFillTint="19"/>
    </w:tcPr>
    <w:tblStylePr w:type="firstRow">
      <w:rPr>
        <w:b/>
        <w:bCs/>
        <w:color w:val="000000"/>
      </w:rPr>
      <w:tblPr/>
      <w:tcPr>
        <w:tcBorders>
          <w:bottom w:val="single" w:sz="12" w:space="0" w:color="FFFFFF" w:themeColor="background1"/>
        </w:tcBorders>
        <w:shd w:val="clear" w:color="auto" w:fill="000000"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color w:val="000000"/>
      </w:rPr>
      <w:tblPr/>
      <w:tcPr>
        <w:shd w:val="clear" w:color="auto" w:fill="999999" w:themeFill="accent1" w:themeFillTint="66"/>
      </w:tcPr>
    </w:tblStylePr>
    <w:tblStylePr w:type="lastRow">
      <w:rPr>
        <w:b/>
        <w:bCs/>
        <w:color w:val="000000"/>
      </w:rPr>
      <w:tblPr/>
      <w:tcPr>
        <w:shd w:val="clear" w:color="auto" w:fill="999999" w:themeFill="accent1" w:themeFillTint="66"/>
      </w:tcPr>
    </w:tblStylePr>
    <w:tblStylePr w:type="firstCol">
      <w:rPr>
        <w:color w:val="000000"/>
      </w:rPr>
      <w:tblPr/>
      <w:tcPr>
        <w:shd w:val="clear" w:color="auto" w:fill="000000" w:themeFill="accent1" w:themeFillShade="BF"/>
      </w:tcPr>
    </w:tblStylePr>
    <w:tblStylePr w:type="lastCol">
      <w:rPr>
        <w:color w:val="000000"/>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color w:val="000000"/>
      </w:rPr>
      <w:tblPr/>
      <w:tcPr>
        <w:shd w:val="clear" w:color="auto" w:fill="999999" w:themeFill="accent2" w:themeFillTint="66"/>
      </w:tcPr>
    </w:tblStylePr>
    <w:tblStylePr w:type="lastRow">
      <w:rPr>
        <w:b/>
        <w:bCs/>
        <w:color w:val="000000"/>
      </w:rPr>
      <w:tblPr/>
      <w:tcPr>
        <w:shd w:val="clear" w:color="auto" w:fill="999999" w:themeFill="accent2" w:themeFillTint="66"/>
      </w:tcPr>
    </w:tblStylePr>
    <w:tblStylePr w:type="firstCol">
      <w:rPr>
        <w:color w:val="000000"/>
      </w:rPr>
      <w:tblPr/>
      <w:tcPr>
        <w:shd w:val="clear" w:color="auto" w:fill="000000" w:themeFill="accent2" w:themeFillShade="BF"/>
      </w:tcPr>
    </w:tblStylePr>
    <w:tblStylePr w:type="lastCol">
      <w:rPr>
        <w:color w:val="000000"/>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3" w:themeFillTint="33"/>
    </w:tcPr>
    <w:tblStylePr w:type="firstRow">
      <w:rPr>
        <w:b/>
        <w:bCs/>
        <w:color w:val="000000"/>
      </w:rPr>
      <w:tblPr/>
      <w:tcPr>
        <w:shd w:val="clear" w:color="auto" w:fill="999999" w:themeFill="accent3" w:themeFillTint="66"/>
      </w:tcPr>
    </w:tblStylePr>
    <w:tblStylePr w:type="lastRow">
      <w:rPr>
        <w:b/>
        <w:bCs/>
        <w:color w:val="000000"/>
      </w:rPr>
      <w:tblPr/>
      <w:tcPr>
        <w:shd w:val="clear" w:color="auto" w:fill="999999" w:themeFill="accent3" w:themeFillTint="66"/>
      </w:tcPr>
    </w:tblStylePr>
    <w:tblStylePr w:type="firstCol">
      <w:rPr>
        <w:color w:val="000000"/>
      </w:rPr>
      <w:tblPr/>
      <w:tcPr>
        <w:shd w:val="clear" w:color="auto" w:fill="000000" w:themeFill="accent3" w:themeFillShade="BF"/>
      </w:tcPr>
    </w:tblStylePr>
    <w:tblStylePr w:type="lastCol">
      <w:rPr>
        <w:color w:val="000000"/>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4" w:themeFillTint="33"/>
    </w:tcPr>
    <w:tblStylePr w:type="firstRow">
      <w:rPr>
        <w:b/>
        <w:bCs/>
        <w:color w:val="000000"/>
      </w:rPr>
      <w:tblPr/>
      <w:tcPr>
        <w:shd w:val="clear" w:color="auto" w:fill="999999" w:themeFill="accent4" w:themeFillTint="66"/>
      </w:tcPr>
    </w:tblStylePr>
    <w:tblStylePr w:type="lastRow">
      <w:rPr>
        <w:b/>
        <w:bCs/>
        <w:color w:val="000000"/>
      </w:rPr>
      <w:tblPr/>
      <w:tcPr>
        <w:shd w:val="clear" w:color="auto" w:fill="999999" w:themeFill="accent4" w:themeFillTint="66"/>
      </w:tcPr>
    </w:tblStylePr>
    <w:tblStylePr w:type="firstCol">
      <w:rPr>
        <w:color w:val="000000"/>
      </w:rPr>
      <w:tblPr/>
      <w:tcPr>
        <w:shd w:val="clear" w:color="auto" w:fill="000000" w:themeFill="accent4" w:themeFillShade="BF"/>
      </w:tcPr>
    </w:tblStylePr>
    <w:tblStylePr w:type="lastCol">
      <w:rPr>
        <w:color w:val="000000"/>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color w:val="000000"/>
      </w:rPr>
      <w:tblPr/>
      <w:tcPr>
        <w:shd w:val="clear" w:color="auto" w:fill="999999" w:themeFill="accent5" w:themeFillTint="66"/>
      </w:tcPr>
    </w:tblStylePr>
    <w:tblStylePr w:type="lastRow">
      <w:rPr>
        <w:b/>
        <w:bCs/>
        <w:color w:val="000000"/>
      </w:rPr>
      <w:tblPr/>
      <w:tcPr>
        <w:shd w:val="clear" w:color="auto" w:fill="999999" w:themeFill="accent5" w:themeFillTint="66"/>
      </w:tcPr>
    </w:tblStylePr>
    <w:tblStylePr w:type="firstCol">
      <w:rPr>
        <w:color w:val="000000"/>
      </w:rPr>
      <w:tblPr/>
      <w:tcPr>
        <w:shd w:val="clear" w:color="auto" w:fill="000000" w:themeFill="accent5" w:themeFillShade="BF"/>
      </w:tcPr>
    </w:tblStylePr>
    <w:tblStylePr w:type="lastCol">
      <w:rPr>
        <w:color w:val="000000"/>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color w:val="000000"/>
      </w:rPr>
      <w:tblPr/>
      <w:tcPr>
        <w:shd w:val="clear" w:color="auto" w:fill="999999" w:themeFill="accent6" w:themeFillTint="66"/>
      </w:tcPr>
    </w:tblStylePr>
    <w:tblStylePr w:type="lastRow">
      <w:rPr>
        <w:b/>
        <w:bCs/>
        <w:color w:val="000000"/>
      </w:rPr>
      <w:tblPr/>
      <w:tcPr>
        <w:shd w:val="clear" w:color="auto" w:fill="999999" w:themeFill="accent6" w:themeFillTint="66"/>
      </w:tcPr>
    </w:tblStylePr>
    <w:tblStylePr w:type="firstCol">
      <w:rPr>
        <w:color w:val="000000"/>
      </w:rPr>
      <w:tblPr/>
      <w:tcPr>
        <w:shd w:val="clear" w:color="auto" w:fill="000000" w:themeFill="accent6" w:themeFillShade="BF"/>
      </w:tcPr>
    </w:tblStylePr>
    <w:tblStylePr w:type="lastCol">
      <w:rPr>
        <w:color w:val="000000"/>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ysClr val="window" lastClr="FFFFFF"/>
      </a:lt1>
      <a:dk2>
        <a:srgbClr val="000000"/>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 一种基于失效邻域的自动驾驶测试调度方法</dc:title>
  <dc:subject>一种基于失效邻域的自动驾驶测试调度方法</dc:subject>
  <dc:creator/>
  <cp:keywords>自动驾驶测试;失效邻域;策略版本比较;回归失效;测试调度</cp:keywords>
  <dc:description/>
  <cp:lastModifiedBy>Zhengmin JIANG</cp:lastModifiedBy>
  <cp:revision>3</cp:revision>
  <dcterms:created xsi:type="dcterms:W3CDTF">2013-12-23T23:15:00Z</dcterms:created>
  <dcterms:modified xsi:type="dcterms:W3CDTF">2026-10-22T16:29:00Z</dcterms:modified>
  <cp:category/>
</cp:coreProperties>
</file>