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300"/>
        <w:ind w:firstLine="0"/>
        <w:jc w:val="center"/>
      </w:pPr>
      <w:r>
        <w:rPr>
          <w:rFonts w:ascii="Times New Roman" w:hAnsi="Times New Roman" w:eastAsia="Noto Serif CJK SC"/>
          <w:b/>
          <w:sz w:val="36"/>
        </w:rPr>
        <w:t>发明专利技术交底书</w:t>
      </w:r>
    </w:p>
    <w:tbl>
      <w:tblPr>
        <w:tblStyle w:val="TableGrid"/>
        <w:tblW w:type="auto" w:w="0"/>
        <w:jc w:val="center"/>
        <w:tblLayout w:type="fixed"/>
        <w:tblLook w:firstColumn="1" w:firstRow="1" w:lastColumn="0" w:lastRow="0" w:noHBand="0" w:noVBand="1" w:val="04A0"/>
      </w:tblPr>
      <w:tblGrid>
        <w:gridCol w:w="2154"/>
        <w:gridCol w:w="7087"/>
      </w:tblGrid>
      <w:tr>
        <w:trPr>
          <w:cantSplit/>
          <w:tblHeader/>
        </w:trPr>
        <w:tc>
          <w:tcPr>
            <w:tcW w:type="dxa" w:w="2154"/>
            <w:vAlign w:val="center"/>
            <w:shd w:fill="EEEEEE"/>
          </w:tcPr>
          <w:p>
            <w:pPr>
              <w:spacing w:after="80" w:before="80" w:line="276" w:lineRule="auto"/>
            </w:pPr>
            <w:r>
              <w:rPr>
                <w:rFonts w:ascii="Times New Roman" w:hAnsi="Times New Roman" w:eastAsia="Noto Serif CJK SC"/>
                <w:b/>
                <w:sz w:val="20"/>
              </w:rPr>
              <w:t>项目</w:t>
            </w:r>
          </w:p>
        </w:tc>
        <w:tc>
          <w:tcPr>
            <w:tcW w:type="dxa" w:w="7087"/>
            <w:vAlign w:val="center"/>
            <w:shd w:fill="EEEEEE"/>
          </w:tcPr>
          <w:p>
            <w:pPr>
              <w:spacing w:after="80" w:before="80" w:line="276" w:lineRule="auto"/>
            </w:pPr>
            <w:r>
              <w:rPr>
                <w:rFonts w:ascii="Times New Roman" w:hAnsi="Times New Roman" w:eastAsia="Noto Serif CJK SC"/>
                <w:b/>
                <w:sz w:val="20"/>
              </w:rPr>
              <w:t>内容</w:t>
            </w:r>
          </w:p>
        </w:tc>
      </w:tr>
      <w:tr>
        <w:trPr>
          <w:cantSplit/>
        </w:trPr>
        <w:tc>
          <w:tcPr>
            <w:tcW w:type="dxa" w:w="2154"/>
            <w:vAlign w:val="center"/>
          </w:tcPr>
          <w:p>
            <w:pPr>
              <w:spacing w:after="80" w:before="80" w:line="276" w:lineRule="auto"/>
            </w:pPr>
            <w:r>
              <w:rPr>
                <w:rFonts w:ascii="Times New Roman" w:hAnsi="Times New Roman" w:eastAsia="Noto Serif CJK SC"/>
                <w:b w:val="0"/>
                <w:sz w:val="20"/>
              </w:rPr>
              <w:t>专利名称</w:t>
            </w:r>
          </w:p>
        </w:tc>
        <w:tc>
          <w:tcPr>
            <w:tcW w:type="dxa" w:w="7087"/>
            <w:vAlign w:val="center"/>
          </w:tcPr>
          <w:p>
            <w:pPr>
              <w:spacing w:after="80" w:before="80" w:line="276" w:lineRule="auto"/>
            </w:pPr>
            <w:r>
              <w:rPr>
                <w:rFonts w:ascii="Times New Roman" w:hAnsi="Times New Roman" w:eastAsia="Noto Serif CJK SC"/>
                <w:b w:val="0"/>
                <w:sz w:val="20"/>
              </w:rPr>
              <w:t>一种面向多失效域的自动驾驶交互测试与修复方法</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技术领域</w:t>
            </w:r>
          </w:p>
        </w:tc>
        <w:tc>
          <w:tcPr>
            <w:tcW w:type="dxa" w:w="7087"/>
            <w:vAlign w:val="center"/>
          </w:tcPr>
          <w:p>
            <w:pPr>
              <w:spacing w:after="80" w:before="80" w:line="276" w:lineRule="auto"/>
            </w:pPr>
            <w:r>
              <w:rPr>
                <w:rFonts w:ascii="Times New Roman" w:hAnsi="Times New Roman" w:eastAsia="Noto Serif CJK SC"/>
                <w:b w:val="0"/>
                <w:sz w:val="20"/>
              </w:rPr>
              <w:t>自动驾驶仿真测试、生成式交通建模与驾驶模型修复</w:t>
            </w:r>
          </w:p>
        </w:tc>
      </w:tr>
      <w:tr>
        <w:trPr>
          <w:cantSplit/>
        </w:trPr>
        <w:tc>
          <w:tcPr>
            <w:tcW w:type="dxa" w:w="2154"/>
            <w:vAlign w:val="center"/>
          </w:tcPr>
          <w:p>
            <w:pPr>
              <w:spacing w:after="80" w:before="80" w:line="276" w:lineRule="auto"/>
            </w:pPr>
            <w:r>
              <w:rPr>
                <w:rFonts w:ascii="Times New Roman" w:hAnsi="Times New Roman" w:eastAsia="Noto Serif CJK SC"/>
                <w:b w:val="0"/>
                <w:sz w:val="20"/>
              </w:rPr>
              <w:t>申请人</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发明人</w:t>
            </w:r>
          </w:p>
        </w:tc>
        <w:tc>
          <w:tcPr>
            <w:tcW w:type="dxa" w:w="7087"/>
            <w:vAlign w:val="center"/>
          </w:tcPr>
          <w:p>
            <w:pPr>
              <w:spacing w:after="80" w:before="80" w:line="276" w:lineRule="auto"/>
            </w:pPr>
            <w:r>
              <w:rPr>
                <w:rFonts w:ascii="Times New Roman" w:hAnsi="Times New Roman" w:eastAsia="Noto Serif CJK SC"/>
                <w:b w:val="0"/>
                <w:sz w:val="20"/>
              </w:rPr>
              <w:t>待依据实质贡献确认姓名及顺序</w:t>
            </w:r>
          </w:p>
        </w:tc>
      </w:tr>
      <w:tr>
        <w:trPr>
          <w:cantSplit/>
        </w:trPr>
        <w:tc>
          <w:tcPr>
            <w:tcW w:type="dxa" w:w="2154"/>
            <w:vAlign w:val="center"/>
          </w:tcPr>
          <w:p>
            <w:pPr>
              <w:spacing w:after="80" w:before="80" w:line="276" w:lineRule="auto"/>
            </w:pPr>
            <w:r>
              <w:rPr>
                <w:rFonts w:ascii="Times New Roman" w:hAnsi="Times New Roman" w:eastAsia="Noto Serif CJK SC"/>
                <w:b w:val="0"/>
                <w:sz w:val="20"/>
              </w:rPr>
              <w:t>交底书撰写人</w:t>
            </w:r>
          </w:p>
        </w:tc>
        <w:tc>
          <w:tcPr>
            <w:tcW w:type="dxa" w:w="7087"/>
            <w:vAlign w:val="center"/>
          </w:tcPr>
          <w:p>
            <w:pPr>
              <w:spacing w:after="80" w:before="80" w:line="276" w:lineRule="auto"/>
            </w:pPr>
            <w:r>
              <w:rPr>
                <w:rFonts w:ascii="Times New Roman" w:hAnsi="Times New Roman" w:eastAsia="Noto Serif CJK SC"/>
                <w:b w:val="0"/>
                <w:sz w:val="20"/>
              </w:rPr>
              <w:t>蒋拯民</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技术联系人及联系方式</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文稿日期</w:t>
            </w:r>
          </w:p>
        </w:tc>
        <w:tc>
          <w:tcPr>
            <w:tcW w:type="dxa" w:w="7087"/>
            <w:vAlign w:val="center"/>
          </w:tcPr>
          <w:p>
            <w:pPr>
              <w:spacing w:after="80" w:before="80" w:line="276" w:lineRule="auto"/>
            </w:pPr>
            <w:r>
              <w:rPr>
                <w:rFonts w:ascii="Times New Roman" w:hAnsi="Times New Roman" w:eastAsia="Noto Serif CJK SC"/>
                <w:b w:val="0"/>
                <w:sz w:val="20"/>
              </w:rPr>
              <w:t>2026年10月25日；整体框架深化稿</w:t>
            </w:r>
          </w:p>
        </w:tc>
      </w:tr>
    </w:tbl>
    <w:p>
      <w:pPr>
        <w:spacing w:line="324" w:lineRule="auto" w:after="0"/>
        <w:ind w:firstLine="0"/>
      </w:pPr>
    </w:p>
    <w:p>
      <w:pPr>
        <w:pStyle w:val="Heading1"/>
        <w:keepNext/>
        <w:spacing w:before="240" w:after="140"/>
      </w:pPr>
      <w:r>
        <w:rPr>
          <w:rFonts w:ascii="Times New Roman" w:hAnsi="Times New Roman" w:eastAsia="Noto Serif CJK SC"/>
          <w:b/>
          <w:sz w:val="26"/>
        </w:rPr>
        <w:t>1 技术领域与所要解决的技术问题</w:t>
      </w:r>
    </w:p>
    <w:p>
      <w:pPr>
        <w:spacing w:line="324" w:lineRule="auto" w:after="100"/>
        <w:ind w:firstLine="420"/>
      </w:pPr>
      <w:r>
        <w:rPr>
          <w:rFonts w:ascii="Times New Roman" w:hAnsi="Times New Roman" w:eastAsia="Noto Serif CJK SC"/>
          <w:b w:val="0"/>
          <w:sz w:val="22"/>
        </w:rPr>
        <w:t>本发明涉及自动驾驶系统（Autonomous Driving System，ADS）的仿真测试与模型训练，具体涉及一种利用自然驾驶尾部事件构建分层交互世界，并在该世界中发现不同失效区域、取得有效修正材料以及开展修复后反馈测试的方法。测试平台从自然驾驶记录中提取风险事件，以极值理论确定尾部样本，通过归一化流和条件扩散模型生成多车交通参考，再根据被测系统的实际行为执行交互；测试产生的分支、失效代表和成功邻点用于组织模型修复，修复后的实际结果继续影响后续测试。</w:t>
      </w:r>
    </w:p>
    <w:p>
      <w:pPr>
        <w:spacing w:line="324" w:lineRule="auto" w:after="100"/>
        <w:ind w:firstLine="420"/>
      </w:pPr>
      <w:r>
        <w:rPr>
          <w:rFonts w:ascii="Times New Roman" w:hAnsi="Times New Roman" w:eastAsia="Noto Serif CJK SC"/>
          <w:b w:val="0"/>
          <w:sz w:val="22"/>
        </w:rPr>
        <w:t>自动驾驶长尾测试需要解决的不只是危险场景数量不足。一个自然事件同时包含初始交通布局、周车运动意图、局部动作变化和驾驶响应。若直接复制已有轨迹，主车改变行为后周车仍按旧轨迹运动，所得事故可能反映回放失配；若始终由通用驾驶策略控制全部周车，又难以保留原事件中的制动、切入及组合交互。测试世界需要保留有数据依据的交通发展，同时允许主车动作真正改变周车后续行为。</w:t>
      </w:r>
    </w:p>
    <w:p>
      <w:pPr>
        <w:spacing w:line="324" w:lineRule="auto" w:after="100"/>
        <w:ind w:firstLine="420"/>
      </w:pPr>
      <w:r>
        <w:rPr>
          <w:rFonts w:ascii="Times New Roman" w:hAnsi="Times New Roman" w:eastAsia="Noto Serif CJK SC"/>
          <w:b w:val="0"/>
          <w:sz w:val="22"/>
        </w:rPr>
        <w:t>在这样的交互世界中，不同失效可能位于相互难以迁移的输入区域。按全局风险排序持续保留少量最高分样本，容易使搜索集中于某一类高风险交互；把大量相邻变体直接用于训练，又可能使一个采样来源占据大部分修正材料。模型更新后，已发现缺陷可能解除，原成功条件也可能产生新失效，因此原有搜索标签和条件粒子不能直接代表更新后策略的结果。</w:t>
      </w:r>
    </w:p>
    <w:p>
      <w:pPr>
        <w:spacing w:line="324" w:lineRule="auto" w:after="100"/>
        <w:ind w:firstLine="420"/>
      </w:pPr>
      <w:r>
        <w:rPr>
          <w:rFonts w:ascii="Times New Roman" w:hAnsi="Times New Roman" w:eastAsia="Noto Serif CJK SC"/>
          <w:b w:val="0"/>
          <w:sz w:val="22"/>
        </w:rPr>
        <w:t>本发明所要解决的技术问题是：如何使自然驾驶风险基准、分层生成变量、响应式交通执行以及修复后的测试反馈形成连续的数据与控制关系，在保持测试世界来源及恢复条件明确的同时，发现分散的交互失效，并将其转化为可验证的驾驶模型修复。方法最终输出可执行交通实例、按区域组织的失效与成功记录、修复后的驾驶模型以及下一轮测试安排。</w:t>
      </w:r>
    </w:p>
    <w:p>
      <w:pPr>
        <w:spacing w:line="324" w:lineRule="auto" w:after="100"/>
        <w:ind w:firstLine="420"/>
      </w:pPr>
      <w:r>
        <w:rPr>
          <w:rFonts w:ascii="Times New Roman" w:hAnsi="Times New Roman" w:eastAsia="Noto Serif CJK SC"/>
          <w:b w:val="0"/>
          <w:sz w:val="22"/>
        </w:rPr>
        <w:t>为解决这一问题，方法将世界生成与策略更新的作用范围明确对应：世界模型提供在整个修复周期内固定的条件生成映射，搜索改变该映射的输入，ADS修复改变主车策略，交通响应根据实际状态演化。对同一策略改变输入取得的风险差用于调整分组提议；对同一完整输入更换策略取得的结果变化用于调整分支份额。两种反馈各有对应的保持条件，能够共同服务于缺陷发现与修复，而不将环境变化和策略变化混为同一信号。</w:t>
      </w:r>
    </w:p>
    <w:p>
      <w:pPr>
        <w:pStyle w:val="Heading1"/>
        <w:keepNext/>
        <w:spacing w:before="240" w:after="140"/>
      </w:pPr>
      <w:r>
        <w:rPr>
          <w:rFonts w:ascii="Times New Roman" w:hAnsi="Times New Roman" w:eastAsia="Noto Serif CJK SC"/>
          <w:b/>
          <w:sz w:val="26"/>
        </w:rPr>
        <w:t>2 技术背景与最接近的已有方案</w:t>
      </w:r>
    </w:p>
    <w:p>
      <w:pPr>
        <w:spacing w:line="324" w:lineRule="auto" w:after="100"/>
        <w:ind w:firstLine="420"/>
      </w:pPr>
      <w:r>
        <w:rPr>
          <w:rFonts w:ascii="Times New Roman" w:hAnsi="Times New Roman" w:eastAsia="Noto Serif CJK SC"/>
          <w:b w:val="0"/>
          <w:sz w:val="22"/>
        </w:rPr>
        <w:t>将长尾发现、世界模型和驾驶模型训练相连已有公开方案。World Engine从驾驶日志中识别失效场景，构建交互环境，利用行为世界模型产生变体，并通过带原策略约束的强化后训练改进驾驶模型[1]。本发明与该方案具有相近的整体应用目标，进一步针对分层生成输入如何贯穿分支条件搜索、实际交互、纠正资格及修复后复测展开。</w:t>
      </w:r>
    </w:p>
    <w:p>
      <w:pPr>
        <w:spacing w:line="324" w:lineRule="auto" w:after="100"/>
        <w:ind w:firstLine="420"/>
      </w:pPr>
      <w:r>
        <w:rPr>
          <w:rFonts w:ascii="Times New Roman" w:hAnsi="Times New Roman" w:eastAsia="Noto Serif CJK SC"/>
          <w:b w:val="0"/>
          <w:sz w:val="22"/>
        </w:rPr>
        <w:t>在扩散场景生成中，Safe-Sim通过去噪过程中的对抗引导和部分扩散控制碰撞类型及交互强度[2]；OMEGA通过约束优化重新锚定扩散预测，并以博弈敏感性改进对抗生成[3]。本发明采用已标定的分层生成映射，将风险反馈用于基础输入组的选择与分支推进，所用敏感度来自实际父子执行的风险变化。由此，场景生成、条件搜索与被测模型的更新分别具有确定的操作位置。</w:t>
      </w:r>
    </w:p>
    <w:p>
      <w:pPr>
        <w:spacing w:line="324" w:lineRule="auto" w:after="100"/>
        <w:ind w:firstLine="420"/>
      </w:pPr>
      <w:r>
        <w:rPr>
          <w:rFonts w:ascii="Times New Roman" w:hAnsi="Times New Roman" w:eastAsia="Noto Serif CJK SC"/>
          <w:b w:val="0"/>
          <w:sz w:val="22"/>
        </w:rPr>
        <w:t>在交互仿真方面，LitSim通过冲突预测选择性接管背景车辆，并在冲突解除后返回日志回放[4]；WO2025090341A1公开了根据交通交互条件使非主车参与者偏离记录轨迹的方法[5]。在搜索方面，生态位子集模拟通过输入划分和分支条件采样处理多模态失效[6]；GUARD及场景参数变体相关专利根据安全边界、未知区域或边界距离安排测试[7,8]。在修复方面，KING已将专家能够安全通过的危险场景用于混合微调[9]。</w:t>
      </w:r>
    </w:p>
    <w:p>
      <w:pPr>
        <w:spacing w:line="324" w:lineRule="auto" w:after="100"/>
        <w:ind w:firstLine="420"/>
      </w:pPr>
      <w:r>
        <w:rPr>
          <w:rFonts w:ascii="Times New Roman" w:hAnsi="Times New Roman" w:eastAsia="Noto Serif CJK SC"/>
          <w:b w:val="0"/>
          <w:sz w:val="22"/>
        </w:rPr>
        <w:t>上述技术分别提供了交互响应、分支搜索和危险样本学习的基础。本发明进一步围绕同一组可恢复世界输入组织这些处理：生成层同时暴露场景结构、初态、稀疏意图、轨迹残差及响应变量；执行层依据计划适用性承接主车行为变化，并区分控制权交接和已执行响应；搜索层由上一层执行反馈固定本层提议配置，分别推进不同分支；修复层按执行来源使用实际端点；接纳后在相同外生输入下重新执行，将旧端点映射到当前分支后确定分配。具体计算及其输入输出关系在第4节说明。</w:t>
      </w:r>
    </w:p>
    <w:p>
      <w:pPr>
        <w:pStyle w:val="Heading1"/>
        <w:keepNext/>
        <w:spacing w:before="240" w:after="140"/>
      </w:pPr>
      <w:r>
        <w:rPr>
          <w:rFonts w:ascii="Times New Roman" w:hAnsi="Times New Roman" w:eastAsia="Noto Serif CJK SC"/>
          <w:b/>
          <w:sz w:val="26"/>
        </w:rPr>
        <w:t>3 发明构思与总体技术方案</w:t>
      </w:r>
    </w:p>
    <w:p>
      <w:pPr>
        <w:spacing w:line="324" w:lineRule="auto" w:after="100"/>
        <w:ind w:firstLine="420"/>
      </w:pPr>
      <w:r>
        <w:rPr>
          <w:rFonts w:ascii="Times New Roman" w:hAnsi="Times New Roman" w:eastAsia="Noto Serif CJK SC"/>
          <w:b w:val="0"/>
          <w:sz w:val="22"/>
        </w:rPr>
        <w:t>本发明以可恢复的世界输入作为贯穿各环节的载体。自然驾驶尾部事件定义需要扩充的交通条件，归一化流产生多车初态和稀疏位置结点，条件扩散模型产生结点之间的运动残差，由此形成背景车辆的软参考计划。软参考给出没有新增交互时的预期运动；背景车辆依据当前真实交通判断该计划是否继续适用，并在需要响应时从实际状态承接控制。</w:t>
      </w:r>
    </w:p>
    <w:p>
      <w:pPr>
        <w:spacing w:line="324" w:lineRule="auto" w:after="100"/>
        <w:ind w:firstLine="420"/>
      </w:pPr>
      <w:r>
        <w:rPr>
          <w:rFonts w:ascii="Times New Roman" w:hAnsi="Times New Roman" w:eastAsia="Noto Serif CJK SC"/>
          <w:b w:val="0"/>
          <w:sz w:val="22"/>
        </w:rPr>
        <w:t>测试时，生成器、风险标定和交通响应参数保持固定，被测ADS决定主车实际动作。搜索器根据闭环结果在世界基础随机变量上提出新输入，对不同风险分支分别推进阈值，并在分支内保留具有来源差异的失效代表及实际成功邻点。记录既用于寻找新的失效，也用于形成修正与能力保持材料，避免发现和训练分别采用含义不一致的场景描述。</w:t>
      </w:r>
    </w:p>
    <w:p>
      <w:pPr>
        <w:spacing w:line="324" w:lineRule="auto" w:after="100"/>
        <w:ind w:firstLine="420"/>
      </w:pPr>
      <w:r>
        <w:rPr>
          <w:rFonts w:ascii="Times New Roman" w:hAnsi="Times New Roman" w:eastAsia="Noto Serif CJK SC"/>
          <w:b w:val="0"/>
          <w:sz w:val="22"/>
        </w:rPr>
        <w:t>修复候选通过预先隔离的闭环开发实例验证后，替换被测模型；随后恢复旧档案的相同输入并重新执行。恢复的是初始条件、参考生成输入、驾驶特征及响应随机量，周车实际轨迹仍随新主车行为产生。旧端点用于辨别持续失效与成功回归，新策略的搜索树则由当前执行重新建立。反馈改变后续测试的分支份额和变量组选择，既保留长尾世界的生成基准，又使有限测试围绕当前驾驶模型的缺陷展开。</w:t>
      </w:r>
    </w:p>
    <w:p>
      <w:pPr>
        <w:spacing w:line="324" w:lineRule="auto" w:after="100"/>
        <w:ind w:firstLine="420"/>
      </w:pPr>
      <w:r>
        <w:rPr>
          <w:rFonts w:ascii="Times New Roman" w:hAnsi="Times New Roman" w:eastAsia="Noto Serif CJK SC"/>
          <w:b w:val="0"/>
          <w:sz w:val="22"/>
        </w:rPr>
        <w:t>这一安排使分层模型的作用延续至测试操作：在初态及结点保持时改变扩散输入，比较的是结点间运动形态变化；在软参考保持时改变响应输入，比较的是同一意图下的交互实现；在完整世界输入保持时更换ADS，比较的是策略改变后的实际交通结果。每次比较均保存所变更的输入组或策略版本，其结果按相应用途进入下一阶段。</w:t>
      </w:r>
    </w:p>
    <w:p>
      <w:pPr>
        <w:keepNext/>
        <w:spacing w:line="324" w:lineRule="auto" w:after="100"/>
        <w:ind w:firstLine="0"/>
        <w:jc w:val="center"/>
      </w:pPr>
      <w:r>
        <w:rPr>
          <w:rFonts w:ascii="Times New Roman" w:hAnsi="Times New Roman" w:eastAsia="Noto Serif CJK SC"/>
          <w:b/>
          <w:sz w:val="22"/>
        </w:rPr>
        <w:t>图1 长尾交互世界中的多失效域测试与修复总体框架（附图占位）</w:t>
      </w:r>
    </w:p>
    <w:p>
      <w:pPr>
        <w:spacing w:line="324" w:lineRule="auto" w:after="100"/>
        <w:ind w:firstLine="420"/>
      </w:pPr>
      <w:r>
        <w:rPr>
          <w:rFonts w:ascii="Times New Roman" w:hAnsi="Times New Roman" w:eastAsia="Noto Serif CJK SC"/>
          <w:b w:val="0"/>
          <w:sz w:val="22"/>
        </w:rPr>
        <w:t>由左至右绘制自然事件与风险尾部、Flow场景条件、扩散软参考、计划适用性与交通响应、分支搜索、修正学习、开发接纳及版本复测。向下标明各环节传递的占位、初态、位置结点、随机变量、联合执行及版本记录；反馈箭头从复测结果连接分支分配。世界模型参数固定与ADS参数更新分别标识。</w:t>
      </w:r>
    </w:p>
    <w:p>
      <w:pPr>
        <w:pStyle w:val="Heading1"/>
        <w:keepNext/>
        <w:spacing w:before="240" w:after="140"/>
      </w:pPr>
      <w:r>
        <w:rPr>
          <w:rFonts w:ascii="Times New Roman" w:hAnsi="Times New Roman" w:eastAsia="Noto Serif CJK SC"/>
          <w:b/>
          <w:sz w:val="26"/>
        </w:rPr>
        <w:t>4 技术方案的具体实施方式</w:t>
      </w:r>
    </w:p>
    <w:p>
      <w:pPr>
        <w:pStyle w:val="Heading2"/>
        <w:keepNext/>
        <w:spacing w:before="160" w:after="100"/>
      </w:pPr>
      <w:r>
        <w:rPr>
          <w:rFonts w:ascii="Times New Roman" w:hAnsi="Times New Roman" w:eastAsia="Noto Serif CJK SC"/>
          <w:b/>
          <w:sz w:val="23"/>
        </w:rPr>
        <w:t>4.1 自然驾驶尾部事件及分层场景条件</w:t>
      </w:r>
    </w:p>
    <w:p>
      <w:pPr>
        <w:spacing w:line="324" w:lineRule="auto" w:after="100"/>
        <w:ind w:firstLine="420"/>
      </w:pPr>
      <w:r>
        <w:rPr>
          <w:rFonts w:ascii="Times New Roman" w:hAnsi="Times New Roman" w:eastAsia="Noto Serif CJK SC"/>
          <w:b w:val="0"/>
          <w:sz w:val="22"/>
        </w:rPr>
        <w:t>测试平台包括处理器、存储器、自然驾驶数据接口、交通仿真器及ADS训练接口。数据预处理统一车辆中心坐标、行驶方向、采样时标和车道语义，保留车辆尺寸、稳定身份、有效历史以及完整的换道前后过程。以一辆主车及其周围最多六辆背景车组成一个交互片段；背景槽位在片段起点确定，缺席车辆由占位标记表示。</w:t>
      </w:r>
    </w:p>
    <w:p>
      <w:pPr>
        <w:keepNext/>
        <w:spacing w:line="324" w:lineRule="auto" w:after="100"/>
        <w:ind w:firstLine="420"/>
      </w:pPr>
      <w:r>
        <w:rPr>
          <w:rFonts w:ascii="Times New Roman" w:hAnsi="Times New Roman" w:eastAsia="Noto Serif CJK SC"/>
          <w:b w:val="0"/>
          <w:sz w:val="22"/>
        </w:rPr>
        <w:t>根据实际尺寸、相对位置、速度和短时运动外推构建动态安全包络，计算主车与各背景车之间的包络侵入程度，并在车辆与预测时间上平滑汇总为非负瞬时风险。为同时反映峰值和暴露时长，将事件风险记为：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τ</m:t>
        </m:r>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max</m:t>
            </m:r>
          </m:e>
          <m:sub>
            <m:r>
              <m:rPr>
                <m:sty m:val="i"/>
              </m:rPr>
              <w:rPr>
                <w:rFonts w:ascii="Cambria Math" w:hAnsi="Cambria Math"/>
                <w:sz w:val="22"/>
              </w:rPr>
              <m:t>t</m:t>
            </m:r>
          </m:sub>
        </m:sSub>
        <m:sSub>
          <m:e>
            <m:r>
              <m:rPr>
                <m:sty m:val="i"/>
              </m:rPr>
              <w:rPr>
                <w:rFonts w:ascii="Cambria Math" w:hAnsi="Cambria Math"/>
                <w:sz w:val="22"/>
              </w:rPr>
              <m:t>r</m:t>
            </m:r>
          </m:e>
          <m:sub>
            <m:r>
              <m:rPr>
                <m:sty m:val="i"/>
              </m:rPr>
              <w:rPr>
                <w:rFonts w:ascii="Cambria Math" w:hAnsi="Cambria Math"/>
                <w:sz w:val="22"/>
              </w:rPr>
              <m:t>t</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R</m:t>
            </m:r>
          </m:sub>
        </m:sSub>
        <m:r>
          <m:rPr>
            <m:sty m:val="i"/>
          </m:rPr>
          <w:rPr>
            <w:rFonts w:ascii="Cambria Math" w:hAnsi="Cambria Math"/>
            <w:sz w:val="22"/>
          </w:rPr>
          <m:t>Δ</m:t>
        </m:r>
        <m:r>
          <m:rPr>
            <m:sty m:val="i"/>
          </m:rPr>
          <w:rPr>
            <w:rFonts w:ascii="Cambria Math" w:hAnsi="Cambria Math"/>
            <w:sz w:val="22"/>
          </w:rPr>
          <m:t>t</m:t>
        </m:r>
        <m:sSub>
          <m:e>
            <m:r>
              <m:rPr>
                <m:sty m:val="p"/>
              </m:rPr>
              <w:rPr>
                <w:rFonts w:ascii="Cambria Math" w:hAnsi="Cambria Math"/>
                <w:sz w:val="22"/>
              </w:rPr>
              <m:t>∑</m:t>
            </m:r>
          </m:e>
          <m:sub>
            <m:r>
              <m:rPr>
                <m:sty m:val="i"/>
              </m:rPr>
              <w:rPr>
                <w:rFonts w:ascii="Cambria Math" w:hAnsi="Cambria Math"/>
                <w:sz w:val="22"/>
              </w:rPr>
              <m:t>t</m:t>
            </m:r>
          </m:sub>
        </m:sSub>
        <m:sSub>
          <m:e>
            <m:r>
              <m:rPr>
                <m:sty m:val="i"/>
              </m:rPr>
              <w:rPr>
                <w:rFonts w:ascii="Cambria Math" w:hAnsi="Cambria Math"/>
                <w:sz w:val="22"/>
              </w:rPr>
              <m:t>r</m:t>
            </m:r>
          </m:e>
          <m:sub>
            <m:r>
              <m:rPr>
                <m:sty m:val="i"/>
              </m:rPr>
              <w:rPr>
                <w:rFonts w:ascii="Cambria Math" w:hAnsi="Cambria Math"/>
                <w:sz w:val="22"/>
              </w:rPr>
              <m:t>t</m:t>
            </m:r>
          </m:sub>
        </m:sSub>
      </m:oMath>
      <w:r>
        <w:rPr>
          <w:rFonts w:ascii="Times New Roman" w:hAnsi="Times New Roman" w:eastAsia="Noto Serif CJK SC"/>
          <w:b w:val="0"/>
          <w:sz w:val="20"/>
        </w:rPr>
        <w:tab/>
        <w:t>（1）</w:t>
      </w:r>
    </w:p>
    <w:p>
      <w:pPr>
        <w:spacing w:line="324" w:lineRule="auto" w:after="100"/>
        <w:ind w:firstLine="420"/>
      </w:pPr>
      <w:r>
        <w:rPr>
          <w:rFonts w:ascii="Times New Roman" w:hAnsi="Times New Roman" w:eastAsia="Noto Serif CJK SC"/>
          <w:b w:val="0"/>
          <w:sz w:val="22"/>
        </w:rPr>
        <w:t>式（1）中，</w:t>
      </w:r>
      <m:oMath>
        <m:r>
          <m:rPr>
            <m:sty m:val="i"/>
          </m:rPr>
          <w:rPr>
            <w:rFonts w:ascii="Cambria Math" w:hAnsi="Cambria Math"/>
            <w:sz w:val="22"/>
          </w:rPr>
          <m:t>τ</m:t>
        </m:r>
      </m:oMath>
      <w:r>
        <w:rPr>
          <w:rFonts w:ascii="Times New Roman" w:hAnsi="Times New Roman" w:eastAsia="Noto Serif CJK SC"/>
          <w:b w:val="0"/>
          <w:sz w:val="22"/>
        </w:rPr>
        <w:t>为一段实际或自然驾驶联合轨迹，</w:t>
      </w:r>
      <m:oMath>
        <m:sSub>
          <m:e>
            <m:r>
              <m:rPr>
                <m:sty m:val="i"/>
              </m:rPr>
              <w:rPr>
                <w:rFonts w:ascii="Cambria Math" w:hAnsi="Cambria Math"/>
                <w:sz w:val="22"/>
              </w:rPr>
              <m:t>r</m:t>
            </m:r>
          </m:e>
          <m:sub>
            <m:r>
              <m:rPr>
                <m:sty m:val="i"/>
              </m:rPr>
              <w:rPr>
                <w:rFonts w:ascii="Cambria Math" w:hAnsi="Cambria Math"/>
                <w:sz w:val="22"/>
              </w:rPr>
              <m:t>t</m:t>
            </m:r>
          </m:sub>
        </m:sSub>
      </m:oMath>
      <w:r>
        <w:rPr>
          <w:rFonts w:ascii="Times New Roman" w:hAnsi="Times New Roman" w:eastAsia="Noto Serif CJK SC"/>
          <w:b w:val="0"/>
          <w:sz w:val="22"/>
        </w:rPr>
        <w:t>为物理时刻</w:t>
      </w:r>
      <m:oMath>
        <m:r>
          <m:rPr>
            <m:sty m:val="i"/>
          </m:rPr>
          <w:rPr>
            <w:rFonts w:ascii="Cambria Math" w:hAnsi="Cambria Math"/>
            <w:sz w:val="22"/>
          </w:rPr>
          <m:t>t</m:t>
        </m:r>
      </m:oMath>
      <w:r>
        <w:rPr>
          <w:rFonts w:ascii="Times New Roman" w:hAnsi="Times New Roman" w:eastAsia="Noto Serif CJK SC"/>
          <w:b w:val="0"/>
          <w:sz w:val="22"/>
        </w:rPr>
        <w:t>的瞬时风险，</w:t>
      </w:r>
      <m:oMath>
        <m:r>
          <m:rPr>
            <m:sty m:val="i"/>
          </m:rPr>
          <w:rPr>
            <w:rFonts w:ascii="Cambria Math" w:hAnsi="Cambria Math"/>
            <w:sz w:val="22"/>
          </w:rPr>
          <m:t>Δ</m:t>
        </m:r>
        <m:r>
          <m:rPr>
            <m:sty m:val="i"/>
          </m:rPr>
          <w:rPr>
            <w:rFonts w:ascii="Cambria Math" w:hAnsi="Cambria Math"/>
            <w:sz w:val="22"/>
          </w:rPr>
          <m:t>t</m:t>
        </m:r>
      </m:oMath>
      <w:r>
        <w:rPr>
          <w:rFonts w:ascii="Times New Roman" w:hAnsi="Times New Roman" w:eastAsia="Noto Serif CJK SC"/>
          <w:b w:val="0"/>
          <w:sz w:val="22"/>
        </w:rPr>
        <w:t>为物理采样间隔，</w:t>
      </w:r>
      <m:oMath>
        <m:sSub>
          <m:e>
            <m:r>
              <m:rPr>
                <m:sty m:val="i"/>
              </m:rPr>
              <w:rPr>
                <w:rFonts w:ascii="Cambria Math" w:hAnsi="Cambria Math"/>
                <w:sz w:val="22"/>
              </w:rPr>
              <m:t>λ</m:t>
            </m:r>
          </m:e>
          <m:sub>
            <m:r>
              <m:rPr>
                <m:sty m:val="i"/>
              </m:rPr>
              <w:rPr>
                <w:rFonts w:ascii="Cambria Math" w:hAnsi="Cambria Math"/>
                <w:sz w:val="22"/>
              </w:rPr>
              <m:t>R</m:t>
            </m:r>
          </m:sub>
        </m:sSub>
      </m:oMath>
      <w:r>
        <w:rPr>
          <w:rFonts w:ascii="Times New Roman" w:hAnsi="Times New Roman" w:eastAsia="Noto Serif CJK SC"/>
          <w:b w:val="0"/>
          <w:sz w:val="22"/>
        </w:rPr>
        <w:t>为具有相应时间倒数单位的预定暴露权重。动态包络的纵向尺度包含时距和制动余量，横向尺度包含横向接近及响应余量；与车身半尺寸共同确定侵入范围。逐时风险记录采用截至当前的峰值加累计暴露，不能将其解释为瞬时碰撞概率。</w:t>
      </w:r>
    </w:p>
    <w:p>
      <w:pPr>
        <w:keepNext/>
        <w:spacing w:line="324" w:lineRule="auto" w:after="100"/>
        <w:ind w:firstLine="420"/>
      </w:pPr>
      <w:r>
        <w:rPr>
          <w:rFonts w:ascii="Times New Roman" w:hAnsi="Times New Roman" w:eastAsia="Noto Serif CJK SC"/>
          <w:b w:val="0"/>
          <w:sz w:val="22"/>
        </w:rPr>
        <w:t>在自然事件风险上采用超阈值建模，以阈值</w:t>
      </w:r>
      <m:oMath>
        <m:r>
          <m:rPr>
            <m:sty m:val="i"/>
          </m:rPr>
          <w:rPr>
            <w:rFonts w:ascii="Cambria Math" w:hAnsi="Cambria Math"/>
            <w:sz w:val="22"/>
          </w:rPr>
          <m:t>u</m:t>
        </m:r>
      </m:oMath>
      <w:r>
        <w:rPr>
          <w:rFonts w:ascii="Times New Roman" w:hAnsi="Times New Roman" w:eastAsia="Noto Serif CJK SC"/>
          <w:b w:val="0"/>
          <w:sz w:val="22"/>
        </w:rPr>
        <w:t>以上的超额拟合广义帕累托分布。尾部生存函数及统一风险尺度为：</w:t>
      </w:r>
    </w:p>
    <w:p>
      <w:pPr>
        <w:keepNext/>
        <w:tabs>
          <w:tab w:pos="4620" w:val="center"/>
          <w:tab w:pos="9241" w:val="right"/>
        </w:tabs>
        <w:spacing w:before="120" w:after="120"/>
      </w:pPr>
      <w:r>
        <w:rPr>
          <w:rFonts w:ascii="Times New Roman" w:hAnsi="Times New Roman" w:eastAsia="Noto Serif CJK SC"/>
          <w:b w:val="0"/>
          <w:sz w:val="22"/>
        </w:rPr>
        <w:tab/>
      </w:r>
      <m:oMath>
        <m:sSub>
          <m:e>
            <m:limUpp>
              <m:e>
                <m:r>
                  <m:rPr>
                    <m:sty m:val="i"/>
                  </m:rPr>
                  <w:rPr>
                    <w:rFonts w:ascii="Cambria Math" w:hAnsi="Cambria Math"/>
                    <w:sz w:val="22"/>
                  </w:rPr>
                  <m:t>F</m:t>
                </m:r>
              </m:e>
              <m:lim>
                <m:r>
                  <m:rPr>
                    <m:sty m:val="p"/>
                  </m:rPr>
                  <w:rPr>
                    <w:rFonts w:ascii="Cambria Math" w:hAnsi="Cambria Math"/>
                    <w:sz w:val="22"/>
                  </w:rPr>
                  <m:t>―</m:t>
                </m:r>
              </m:lim>
            </m:limUpp>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p</m:t>
            </m:r>
          </m:e>
          <m:sub>
            <m:r>
              <m:rPr>
                <m:sty m:val="i"/>
              </m:rPr>
              <w:rPr>
                <w:rFonts w:ascii="Cambria Math" w:hAnsi="Cambria Math"/>
                <w:sz w:val="22"/>
              </w:rPr>
              <m:t>u</m:t>
            </m:r>
          </m:sub>
        </m:sSub>
        <m:sSup>
          <m:e>
            <m:d>
              <m:dPr>
                <m:begChr m:val="("/>
                <m:endChr m:val=")"/>
              </m:dPr>
              <m:e>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κ</m:t>
                </m:r>
                <m:f>
                  <m:num>
                    <m:r>
                      <m:rPr>
                        <m:sty m:val="i"/>
                      </m:rPr>
                      <w:rPr>
                        <w:rFonts w:ascii="Cambria Math" w:hAnsi="Cambria Math"/>
                        <w:sz w:val="22"/>
                      </w:rPr>
                      <m:t>r</m:t>
                    </m:r>
                    <m:r>
                      <m:rPr>
                        <m:sty m:val="p"/>
                      </m:rPr>
                      <w:rPr>
                        <w:rFonts w:ascii="Cambria Math" w:hAnsi="Cambria Math"/>
                        <w:sz w:val="22"/>
                      </w:rPr>
                      <m:t>−</m:t>
                    </m:r>
                    <m:r>
                      <m:rPr>
                        <m:sty m:val="i"/>
                      </m:rPr>
                      <w:rPr>
                        <w:rFonts w:ascii="Cambria Math" w:hAnsi="Cambria Math"/>
                        <w:sz w:val="22"/>
                      </w:rPr>
                      <m:t>u</m:t>
                    </m:r>
                  </m:num>
                  <m:den>
                    <m:sSub>
                      <m:e>
                        <m:r>
                          <m:rPr>
                            <m:sty m:val="i"/>
                          </m:rPr>
                          <w:rPr>
                            <w:rFonts w:ascii="Cambria Math" w:hAnsi="Cambria Math"/>
                            <w:sz w:val="22"/>
                          </w:rPr>
                          <m:t>σ</m:t>
                        </m:r>
                      </m:e>
                      <m:sub>
                        <m:r>
                          <m:rPr>
                            <m:sty m:val="i"/>
                          </m:rPr>
                          <w:rPr>
                            <w:rFonts w:ascii="Cambria Math" w:hAnsi="Cambria Math"/>
                            <w:sz w:val="22"/>
                          </w:rPr>
                          <m:t>E</m:t>
                        </m:r>
                      </m:sub>
                    </m:sSub>
                  </m:den>
                </m:f>
              </m:e>
            </m:d>
          </m:e>
          <m:sup>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κ</m:t>
            </m:r>
          </m:sup>
        </m:sSup>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S</m:t>
            </m:r>
          </m:e>
          <m:sub>
            <m:r>
              <m:rPr>
                <m:sty m:val="i"/>
              </m:rPr>
              <w:rPr>
                <w:rFonts w:ascii="Cambria Math" w:hAnsi="Cambria Math"/>
                <w:sz w:val="22"/>
              </w:rPr>
              <m:t>E</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log</m:t>
        </m:r>
        <m:r>
          <m:rPr>
            <m:sty m:val="p"/>
          </m:rPr>
          <w:rPr>
            <w:rFonts w:ascii="Cambria Math" w:hAnsi="Cambria Math"/>
            <w:sz w:val="22"/>
          </w:rPr>
          <m:t>max</m:t>
        </m:r>
        <m:r>
          <m:rPr>
            <m:sty m:val="p"/>
          </m:rPr>
          <w:rPr>
            <w:rFonts w:ascii="Cambria Math" w:hAnsi="Cambria Math"/>
            <w:sz w:val="22"/>
          </w:rPr>
          <m:t>{</m:t>
        </m:r>
        <m:sSub>
          <m:e>
            <m:limUpp>
              <m:e>
                <m:r>
                  <m:rPr>
                    <m:sty m:val="i"/>
                  </m:rPr>
                  <w:rPr>
                    <w:rFonts w:ascii="Cambria Math" w:hAnsi="Cambria Math"/>
                    <w:sz w:val="22"/>
                  </w:rPr>
                  <m:t>F</m:t>
                </m:r>
              </m:e>
              <m:lim>
                <m:r>
                  <m:rPr>
                    <m:sty m:val="p"/>
                  </m:rPr>
                  <w:rPr>
                    <w:rFonts w:ascii="Cambria Math" w:hAnsi="Cambria Math"/>
                    <w:sz w:val="22"/>
                  </w:rPr>
                  <m:t>―</m:t>
                </m:r>
              </m:lim>
            </m:limUpp>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ϵ</m:t>
        </m:r>
        <m:r>
          <m:rPr>
            <m:sty m:val="p"/>
          </m:rPr>
          <w:rPr>
            <w:rFonts w:ascii="Cambria Math" w:hAnsi="Cambria Math"/>
            <w:sz w:val="22"/>
          </w:rPr>
          <m:t>}</m:t>
        </m:r>
      </m:oMath>
      <w:r>
        <w:rPr>
          <w:rFonts w:ascii="Times New Roman" w:hAnsi="Times New Roman" w:eastAsia="Noto Serif CJK SC"/>
          <w:b w:val="0"/>
          <w:sz w:val="20"/>
        </w:rPr>
        <w:tab/>
        <w:t>（2）</w:t>
      </w:r>
    </w:p>
    <w:p>
      <w:pPr>
        <w:spacing w:line="324" w:lineRule="auto" w:after="100"/>
        <w:ind w:firstLine="420"/>
      </w:pPr>
      <w:r>
        <w:rPr>
          <w:rFonts w:ascii="Times New Roman" w:hAnsi="Times New Roman" w:eastAsia="Noto Serif CJK SC"/>
          <w:b w:val="0"/>
          <w:sz w:val="22"/>
        </w:rPr>
        <w:t>式（2）适用于</w:t>
      </w:r>
      <m:oMath>
        <m:r>
          <m:rPr>
            <m:sty m:val="i"/>
          </m:rPr>
          <w:rPr>
            <w:rFonts w:ascii="Cambria Math" w:hAnsi="Cambria Math"/>
            <w:sz w:val="22"/>
          </w:rPr>
          <m:t>r</m:t>
        </m:r>
        <m:r>
          <m:rPr>
            <m:sty m:val="p"/>
          </m:rPr>
          <w:rPr>
            <w:rFonts w:ascii="Cambria Math" w:hAnsi="Cambria Math"/>
            <w:sz w:val="22"/>
          </w:rPr>
          <m:t>&gt;</m:t>
        </m:r>
        <m:r>
          <m:rPr>
            <m:sty m:val="i"/>
          </m:rPr>
          <w:rPr>
            <w:rFonts w:ascii="Cambria Math" w:hAnsi="Cambria Math"/>
            <w:sz w:val="22"/>
          </w:rPr>
          <m:t>u</m:t>
        </m:r>
      </m:oMath>
      <w:r>
        <w:rPr>
          <w:rFonts w:ascii="Times New Roman" w:hAnsi="Times New Roman" w:eastAsia="Noto Serif CJK SC"/>
          <w:b w:val="0"/>
          <w:sz w:val="22"/>
        </w:rPr>
        <w:t>且括号内为正的区域；</w:t>
      </w:r>
      <m:oMath>
        <m:sSub>
          <m:e>
            <m:r>
              <m:rPr>
                <m:sty m:val="i"/>
              </m:rPr>
              <w:rPr>
                <w:rFonts w:ascii="Cambria Math" w:hAnsi="Cambria Math"/>
                <w:sz w:val="22"/>
              </w:rPr>
              <m:t>p</m:t>
            </m:r>
          </m:e>
          <m:sub>
            <m:r>
              <m:rPr>
                <m:sty m:val="i"/>
              </m:rPr>
              <w:rPr>
                <w:rFonts w:ascii="Cambria Math" w:hAnsi="Cambria Math"/>
                <w:sz w:val="22"/>
              </w:rPr>
              <m:t>u</m:t>
            </m:r>
          </m:sub>
        </m:sSub>
      </m:oMath>
      <w:r>
        <w:rPr>
          <w:rFonts w:ascii="Times New Roman" w:hAnsi="Times New Roman" w:eastAsia="Noto Serif CJK SC"/>
          <w:b w:val="0"/>
          <w:sz w:val="22"/>
        </w:rPr>
        <w:t>为自然样本超阈比例，</w:t>
      </w:r>
      <m:oMath>
        <m:r>
          <m:rPr>
            <m:sty m:val="i"/>
          </m:rPr>
          <w:rPr>
            <w:rFonts w:ascii="Cambria Math" w:hAnsi="Cambria Math"/>
            <w:sz w:val="22"/>
          </w:rPr>
          <m:t>κ</m:t>
        </m:r>
      </m:oMath>
      <w:r>
        <w:rPr>
          <w:rFonts w:ascii="Times New Roman" w:hAnsi="Times New Roman" w:eastAsia="Noto Serif CJK SC"/>
          <w:b w:val="0"/>
          <w:sz w:val="22"/>
        </w:rPr>
        <w:t>与</w:t>
      </w:r>
      <m:oMath>
        <m:sSub>
          <m:e>
            <m:r>
              <m:rPr>
                <m:sty m:val="i"/>
              </m:rPr>
              <w:rPr>
                <w:rFonts w:ascii="Cambria Math" w:hAnsi="Cambria Math"/>
                <w:sz w:val="22"/>
              </w:rPr>
              <m:t>σ</m:t>
            </m:r>
          </m:e>
          <m:sub>
            <m:r>
              <m:rPr>
                <m:sty m:val="i"/>
              </m:rPr>
              <w:rPr>
                <w:rFonts w:ascii="Cambria Math" w:hAnsi="Cambria Math"/>
                <w:sz w:val="22"/>
              </w:rPr>
              <m:t>E</m:t>
            </m:r>
          </m:sub>
        </m:sSub>
      </m:oMath>
      <w:r>
        <w:rPr>
          <w:rFonts w:ascii="Times New Roman" w:hAnsi="Times New Roman" w:eastAsia="Noto Serif CJK SC"/>
          <w:b w:val="0"/>
          <w:sz w:val="22"/>
        </w:rPr>
        <w:t>分别为形状和正尺度参数，</w:t>
      </w:r>
      <m:oMath>
        <m:r>
          <m:rPr>
            <m:sty m:val="i"/>
          </m:rPr>
          <w:rPr>
            <w:rFonts w:ascii="Cambria Math" w:hAnsi="Cambria Math"/>
            <w:sz w:val="22"/>
          </w:rPr>
          <m:t>ϵ</m:t>
        </m:r>
      </m:oMath>
      <w:r>
        <w:rPr>
          <w:rFonts w:ascii="Times New Roman" w:hAnsi="Times New Roman" w:eastAsia="Noto Serif CJK SC"/>
          <w:b w:val="0"/>
          <w:sz w:val="22"/>
        </w:rPr>
        <w:t>为防止对数溢出的正下界。形状参数趋于零时采用指数分布极限；阈值以下采用经验生存函数。阈值通过尾部拟合及稳定性检查确定，尾部事件用于后续分布建模。该尺度统一描述自然风险稀有程度，实际碰撞和越界仍由仿真执行单独判定。</w:t>
      </w:r>
    </w:p>
    <w:p>
      <w:pPr>
        <w:keepNext/>
        <w:spacing w:line="324" w:lineRule="auto" w:after="100"/>
        <w:ind w:firstLine="420"/>
      </w:pPr>
      <w:r>
        <w:rPr>
          <w:rFonts w:ascii="Times New Roman" w:hAnsi="Times New Roman" w:eastAsia="Noto Serif CJK SC"/>
          <w:b w:val="0"/>
          <w:sz w:val="22"/>
        </w:rPr>
        <w:t>对尾部事件提取六维背景占位</w:t>
      </w:r>
      <m:oMath>
        <m:r>
          <m:rPr>
            <m:sty m:val="i"/>
          </m:rPr>
          <w:rPr>
            <w:rFonts w:ascii="Cambria Math" w:hAnsi="Cambria Math"/>
            <w:sz w:val="22"/>
          </w:rPr>
          <m:t>M</m:t>
        </m:r>
      </m:oMath>
      <w:r>
        <w:rPr>
          <w:rFonts w:ascii="Times New Roman" w:hAnsi="Times New Roman" w:eastAsia="Noto Serif CJK SC"/>
          <w:b w:val="0"/>
          <w:sz w:val="22"/>
        </w:rPr>
        <w:t>、26维初始条件</w:t>
      </w:r>
      <m:oMath>
        <m:sSub>
          <m:e>
            <m:r>
              <m:rPr>
                <m:sty m:val="i"/>
              </m:rPr>
              <w:rPr>
                <w:rFonts w:ascii="Cambria Math" w:hAnsi="Cambria Math"/>
                <w:sz w:val="22"/>
              </w:rPr>
              <m:t>C</m:t>
            </m:r>
          </m:e>
          <m:sub>
            <m:r>
              <m:rPr>
                <m:sty m:val="p"/>
              </m:rPr>
              <w:rPr>
                <w:rFonts w:ascii="Cambria Math" w:hAnsi="Cambria Math"/>
                <w:sz w:val="22"/>
              </w:rPr>
              <m:t>0</m:t>
            </m:r>
          </m:sub>
        </m:sSub>
      </m:oMath>
      <w:r>
        <w:rPr>
          <w:rFonts w:ascii="Times New Roman" w:hAnsi="Times New Roman" w:eastAsia="Noto Serif CJK SC"/>
          <w:b w:val="0"/>
          <w:sz w:val="22"/>
        </w:rPr>
        <w:t>和36维稀疏位置结点</w:t>
      </w:r>
      <m:oMath>
        <m:r>
          <m:rPr>
            <m:sty m:val="i"/>
          </m:rPr>
          <w:rPr>
            <w:rFonts w:ascii="Cambria Math" w:hAnsi="Cambria Math"/>
            <w:sz w:val="22"/>
          </w:rPr>
          <m:t>K</m:t>
        </m:r>
      </m:oMath>
      <w:r>
        <w:rPr>
          <w:rFonts w:ascii="Times New Roman" w:hAnsi="Times New Roman" w:eastAsia="Noto Serif CJK SC"/>
          <w:b w:val="0"/>
          <w:sz w:val="22"/>
        </w:rPr>
        <w:t>。初始条件包含主车初速及周车相对位置、速度；位置结点表示各背景车在预定未来时刻相对于自身初始位置的位移。归一化流（Normalizing Flow，Flow）在掩码条件下建模：</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p"/>
              </m:rPr>
              <w:rPr>
                <w:rFonts w:ascii="Cambria Math" w:hAnsi="Cambria Math"/>
                <w:sz w:val="22"/>
              </w:rPr>
              <m:t>t</m:t>
            </m:r>
            <m:r>
              <m:rPr>
                <m:sty m:val="p"/>
              </m:rPr>
              <w:rPr>
                <w:rFonts w:ascii="Cambria Math" w:hAnsi="Cambria Math"/>
                <w:sz w:val="22"/>
              </w:rPr>
              <m:t>a</m:t>
            </m:r>
            <m:r>
              <m:rPr>
                <m:sty m:val="p"/>
              </m:rPr>
              <w:rPr>
                <w:rFonts w:ascii="Cambria Math" w:hAnsi="Cambria Math"/>
                <w:sz w:val="22"/>
              </w:rPr>
              <m:t>i</m:t>
            </m:r>
            <m:r>
              <m:rPr>
                <m:sty m:val="p"/>
              </m:rPr>
              <w:rPr>
                <w:rFonts w:ascii="Cambria Math" w:hAnsi="Cambria Math"/>
                <w:sz w:val="22"/>
              </w:rPr>
              <m:t>l</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p</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oMath>
      <w:r>
        <w:rPr>
          <w:rFonts w:ascii="Times New Roman" w:hAnsi="Times New Roman" w:eastAsia="Noto Serif CJK SC"/>
          <w:b w:val="0"/>
          <w:sz w:val="20"/>
        </w:rPr>
        <w:tab/>
        <w:t>（3）</w:t>
      </w:r>
    </w:p>
    <w:p>
      <w:pPr>
        <w:spacing w:line="324" w:lineRule="auto" w:after="100"/>
        <w:ind w:firstLine="420"/>
      </w:pPr>
      <w:r>
        <w:rPr>
          <w:rFonts w:ascii="Times New Roman" w:hAnsi="Times New Roman" w:eastAsia="Noto Serif CJK SC"/>
          <w:b w:val="0"/>
          <w:sz w:val="22"/>
        </w:rPr>
        <w:t>式（3）中，</w:t>
      </w:r>
      <m:oMath>
        <m:sSub>
          <m:e>
            <m:r>
              <m:rPr>
                <m:sty m:val="i"/>
              </m:rPr>
              <w:rPr>
                <w:rFonts w:ascii="Cambria Math" w:hAnsi="Cambria Math"/>
                <w:sz w:val="22"/>
              </w:rPr>
              <m:t>q</m:t>
            </m:r>
          </m:e>
          <m:sub>
            <m:r>
              <m:rPr>
                <m:sty m:val="p"/>
              </m:rPr>
              <w:rPr>
                <w:rFonts w:ascii="Cambria Math" w:hAnsi="Cambria Math"/>
                <w:sz w:val="22"/>
              </w:rPr>
              <m:t>t</m:t>
            </m:r>
            <m:r>
              <m:rPr>
                <m:sty m:val="p"/>
              </m:rPr>
              <w:rPr>
                <w:rFonts w:ascii="Cambria Math" w:hAnsi="Cambria Math"/>
                <w:sz w:val="22"/>
              </w:rPr>
              <m:t>a</m:t>
            </m:r>
            <m:r>
              <m:rPr>
                <m:sty m:val="p"/>
              </m:rPr>
              <w:rPr>
                <w:rFonts w:ascii="Cambria Math" w:hAnsi="Cambria Math"/>
                <w:sz w:val="22"/>
              </w:rPr>
              <m:t>i</m:t>
            </m:r>
            <m:r>
              <m:rPr>
                <m:sty m:val="p"/>
              </m:rPr>
              <w:rPr>
                <w:rFonts w:ascii="Cambria Math" w:hAnsi="Cambria Math"/>
                <w:sz w:val="22"/>
              </w:rPr>
              <m:t>l</m:t>
            </m:r>
          </m:sub>
        </m:sSub>
      </m:oMath>
      <w:r>
        <w:rPr>
          <w:rFonts w:ascii="Times New Roman" w:hAnsi="Times New Roman" w:eastAsia="Noto Serif CJK SC"/>
          <w:b w:val="0"/>
          <w:sz w:val="22"/>
        </w:rPr>
        <w:t>为场景条件建模层的尾部采样分布，</w:t>
      </w:r>
      <m:oMath>
        <m:r>
          <m:rPr>
            <m:sty m:val="i"/>
          </m:rPr>
          <w:rPr>
            <w:rFonts w:ascii="Cambria Math" w:hAnsi="Cambria Math"/>
            <w:sz w:val="22"/>
          </w:rPr>
          <m:t>p</m:t>
        </m:r>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oMath>
      <w:r>
        <w:rPr>
          <w:rFonts w:ascii="Times New Roman" w:hAnsi="Times New Roman" w:eastAsia="Noto Serif CJK SC"/>
          <w:b w:val="0"/>
          <w:sz w:val="22"/>
        </w:rPr>
        <w:t>为占位模式的经验概率，后两项分别由条件可逆流实现。可采用掩码自回归流，通过对数似然训练初态与结点模型；缺席槽位不产生有效运动目标。七辆车的尺寸数组</w:t>
      </w:r>
      <m:oMath>
        <m:r>
          <m:rPr>
            <m:sty m:val="i"/>
          </m:rPr>
          <w:rPr>
            <w:rFonts w:ascii="Cambria Math" w:hAnsi="Cambria Math"/>
            <w:sz w:val="22"/>
          </w:rPr>
          <m:t>D</m:t>
        </m:r>
      </m:oMath>
      <w:r>
        <w:rPr>
          <w:rFonts w:ascii="Times New Roman" w:hAnsi="Times New Roman" w:eastAsia="Noto Serif CJK SC"/>
          <w:b w:val="0"/>
          <w:sz w:val="22"/>
        </w:rPr>
        <w:t>按占位模式从经验样本中抽取，尺寸不进入Flow损失。</w:t>
      </w:r>
    </w:p>
    <w:p>
      <w:pPr>
        <w:spacing w:line="324" w:lineRule="auto" w:after="100"/>
        <w:ind w:firstLine="420"/>
      </w:pPr>
      <w:r>
        <w:rPr>
          <w:rFonts w:ascii="Times New Roman" w:hAnsi="Times New Roman" w:eastAsia="Noto Serif CJK SC"/>
          <w:b w:val="0"/>
          <w:sz w:val="22"/>
        </w:rPr>
        <w:t>解码后的初态按道路侧别、前后关系、速度限幅及车身间距进行物理投影；纵向结点按制动、加速可达位移范围依次投影。实际测试分布由基础变量经过生成与投影的完整映射确定。需要固定初态的实施方式可以调用条件结点接口；一般生成搜索允许初态随所选变量变化，但每个完成实例均保存其实际初态和生成输入。</w:t>
      </w:r>
    </w:p>
    <w:p>
      <w:pPr>
        <w:pStyle w:val="Heading2"/>
        <w:keepNext/>
        <w:spacing w:before="160" w:after="100"/>
      </w:pPr>
      <w:r>
        <w:rPr>
          <w:rFonts w:ascii="Times New Roman" w:hAnsi="Times New Roman" w:eastAsia="Noto Serif CJK SC"/>
          <w:b/>
          <w:sz w:val="23"/>
        </w:rPr>
        <w:t>4.2 条件扩散软参考及计划适用性响应</w:t>
      </w:r>
    </w:p>
    <w:p>
      <w:pPr>
        <w:keepNext/>
        <w:spacing w:line="324" w:lineRule="auto" w:after="100"/>
        <w:ind w:firstLine="420"/>
      </w:pPr>
      <w:r>
        <w:rPr>
          <w:rFonts w:ascii="Times New Roman" w:hAnsi="Times New Roman" w:eastAsia="Noto Serif CJK SC"/>
          <w:b w:val="0"/>
          <w:sz w:val="22"/>
        </w:rPr>
        <w:t>为使稀疏结点同时约束长期运动意图和局部轨迹变化，以保形分段三次插值（PCHIP）生成基准，再由条件扩散模型生成联合位置残差：</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P</m:t>
        </m:r>
        <m:r>
          <m:rPr>
            <m:sty m:val="p"/>
          </m:rPr>
          <w:rPr>
            <w:rFonts w:ascii="Cambria Math" w:hAnsi="Cambria Math"/>
            <w:sz w:val="22"/>
          </w:rPr>
          <m:t>=</m:t>
        </m:r>
        <m:r>
          <m:rPr>
            <m:scr m:val="script"/>
            <m:sty m:val="p"/>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p"/>
          </m:rPr>
          <w:rPr>
            <w:rFonts w:ascii="Cambria Math" w:hAnsi="Cambria Math"/>
            <w:sz w:val="22"/>
          </w:rPr>
          <m:t>+</m:t>
        </m:r>
        <m:sSub>
          <m:e>
            <m:r>
              <m:rPr>
                <m:scr m:val="script"/>
                <m:sty m:val="p"/>
              </m:rPr>
              <w:rPr>
                <w:rFonts w:ascii="Cambria Math" w:hAnsi="Cambria Math"/>
                <w:sz w:val="22"/>
              </w:rPr>
              <m:t>R</m:t>
            </m:r>
          </m:e>
          <m:sub>
            <m:r>
              <m:rPr>
                <m:sty m:val="i"/>
              </m:rPr>
              <w:rPr>
                <w:rFonts w:ascii="Cambria Math" w:hAnsi="Cambria Math"/>
                <w:sz w:val="22"/>
              </w:rPr>
              <m:t>Θ</m:t>
            </m:r>
          </m:sub>
        </m:sSub>
        <m:r>
          <m:rPr>
            <m:sty m:val="p"/>
          </m:rPr>
          <w:rPr>
            <w:rFonts w:ascii="Cambria Math" w:hAnsi="Cambria Math"/>
            <w:sz w:val="22"/>
          </w:rPr>
          <m:t>(</m:t>
        </m:r>
        <m:sSub>
          <m:e>
            <m:r>
              <m:rPr>
                <m:sty m:val="i"/>
              </m:rPr>
              <w:rPr>
                <w:rFonts w:ascii="Cambria Math" w:hAnsi="Cambria Math"/>
                <w:sz w:val="22"/>
              </w:rPr>
              <m:t>C</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i"/>
          </m:rPr>
          <w:rPr>
            <w:rFonts w:ascii="Cambria Math" w:hAnsi="Cambria Math"/>
            <w:sz w:val="22"/>
          </w:rPr>
          <m:t>K</m:t>
        </m:r>
        <m:r>
          <m:rPr>
            <m:sty m:val="i"/>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P</m:t>
            </m:r>
          </m:sub>
        </m:sSub>
        <m:r>
          <m:rPr>
            <m:sty m:val="p"/>
          </m:rPr>
          <w:rPr>
            <w:rFonts w:ascii="Cambria Math" w:hAnsi="Cambria Math"/>
            <w:sz w:val="22"/>
          </w:rPr>
          <m:t>)</m:t>
        </m:r>
      </m:oMath>
      <w:r>
        <w:rPr>
          <w:rFonts w:ascii="Times New Roman" w:hAnsi="Times New Roman" w:eastAsia="Noto Serif CJK SC"/>
          <w:b w:val="0"/>
          <w:sz w:val="20"/>
        </w:rPr>
        <w:tab/>
        <w:t>（4）</w:t>
      </w:r>
    </w:p>
    <w:p>
      <w:pPr>
        <w:spacing w:line="324" w:lineRule="auto" w:after="100"/>
        <w:ind w:firstLine="420"/>
      </w:pPr>
      <w:r>
        <w:rPr>
          <w:rFonts w:ascii="Times New Roman" w:hAnsi="Times New Roman" w:eastAsia="Noto Serif CJK SC"/>
          <w:b w:val="0"/>
          <w:sz w:val="22"/>
        </w:rPr>
        <w:t>式（4）中，</w:t>
      </w:r>
      <m:oMath>
        <m:r>
          <m:rPr>
            <m:sty m:val="i"/>
          </m:rPr>
          <w:rPr>
            <w:rFonts w:ascii="Cambria Math" w:hAnsi="Cambria Math"/>
            <w:sz w:val="22"/>
          </w:rPr>
          <m:t>P</m:t>
        </m:r>
      </m:oMath>
      <w:r>
        <w:rPr>
          <w:rFonts w:ascii="Times New Roman" w:hAnsi="Times New Roman" w:eastAsia="Noto Serif CJK SC"/>
          <w:b w:val="0"/>
          <w:sz w:val="22"/>
        </w:rPr>
        <w:t>为全部有效背景车的软参考计划，</w:t>
      </w:r>
      <m:oMath>
        <m:r>
          <m:rPr>
            <m:scr m:val="script"/>
            <m:sty m:val="p"/>
          </m:rPr>
          <w:rPr>
            <w:rFonts w:ascii="Cambria Math" w:hAnsi="Cambria Math"/>
            <w:sz w:val="22"/>
          </w:rPr>
          <m:t>I</m:t>
        </m:r>
      </m:oMath>
      <w:r>
        <w:rPr>
          <w:rFonts w:ascii="Times New Roman" w:hAnsi="Times New Roman" w:eastAsia="Noto Serif CJK SC"/>
          <w:b w:val="0"/>
          <w:sz w:val="22"/>
        </w:rPr>
        <w:t>为穿过初始位置及稀疏结点的插值轨迹，</w:t>
      </w:r>
      <m:oMath>
        <m:sSub>
          <m:e>
            <m:r>
              <m:rPr>
                <m:scr m:val="script"/>
                <m:sty m:val="p"/>
              </m:rPr>
              <w:rPr>
                <w:rFonts w:ascii="Cambria Math" w:hAnsi="Cambria Math"/>
                <w:sz w:val="22"/>
              </w:rPr>
              <m:t>R</m:t>
            </m:r>
          </m:e>
          <m:sub>
            <m:r>
              <m:rPr>
                <m:sty m:val="i"/>
              </m:rPr>
              <w:rPr>
                <w:rFonts w:ascii="Cambria Math" w:hAnsi="Cambria Math"/>
                <w:sz w:val="22"/>
              </w:rPr>
              <m:t>Θ</m:t>
            </m:r>
          </m:sub>
        </m:sSub>
      </m:oMath>
      <w:r>
        <w:rPr>
          <w:rFonts w:ascii="Times New Roman" w:hAnsi="Times New Roman" w:eastAsia="Noto Serif CJK SC"/>
          <w:b w:val="0"/>
          <w:sz w:val="22"/>
        </w:rPr>
        <w:t>为已训练的条件残差生成器，</w:t>
      </w:r>
      <m:oMath>
        <m:sSub>
          <m:e>
            <m:r>
              <m:rPr>
                <m:sty m:val="i"/>
              </m:rPr>
              <w:rPr>
                <w:rFonts w:ascii="Cambria Math" w:hAnsi="Cambria Math"/>
                <w:sz w:val="22"/>
              </w:rPr>
              <m:t>z</m:t>
            </m:r>
          </m:e>
          <m:sub>
            <m:r>
              <m:rPr>
                <m:sty m:val="i"/>
              </m:rPr>
              <w:rPr>
                <w:rFonts w:ascii="Cambria Math" w:hAnsi="Cambria Math"/>
                <w:sz w:val="22"/>
              </w:rPr>
              <m:t>P</m:t>
            </m:r>
          </m:sub>
        </m:sSub>
      </m:oMath>
      <w:r>
        <w:rPr>
          <w:rFonts w:ascii="Times New Roman" w:hAnsi="Times New Roman" w:eastAsia="Noto Serif CJK SC"/>
          <w:b w:val="0"/>
          <w:sz w:val="22"/>
        </w:rPr>
        <w:t>为扩散基础噪声，</w:t>
      </w:r>
      <m:oMath>
        <m:r>
          <m:rPr>
            <m:sty m:val="i"/>
          </m:rPr>
          <w:rPr>
            <w:rFonts w:ascii="Cambria Math" w:hAnsi="Cambria Math"/>
            <w:sz w:val="22"/>
          </w:rPr>
          <m:t>Θ</m:t>
        </m:r>
      </m:oMath>
      <w:r>
        <w:rPr>
          <w:rFonts w:ascii="Times New Roman" w:hAnsi="Times New Roman" w:eastAsia="Noto Serif CJK SC"/>
          <w:b w:val="0"/>
          <w:sz w:val="22"/>
        </w:rPr>
        <w:t>表示本轮固定的世界模型及执行参数。残差在结点处置零，使局部随机变化与给定结点相容。模型以自然Train片段的真实轨迹减去插值参考构造残差，完成标准化及去噪训练，再以确定的采样过程解码。该条件不包含主车未来动作或车辆尺寸；尺寸在物理执行和碰撞判定中使用。</w:t>
      </w:r>
    </w:p>
    <w:p>
      <w:pPr>
        <w:spacing w:line="324" w:lineRule="auto" w:after="100"/>
        <w:ind w:firstLine="420"/>
      </w:pPr>
      <w:r>
        <w:rPr>
          <w:rFonts w:ascii="Times New Roman" w:hAnsi="Times New Roman" w:eastAsia="Noto Serif CJK SC"/>
          <w:b w:val="0"/>
          <w:sz w:val="22"/>
        </w:rPr>
        <w:t>稀疏结点和残差因此形成两种不同的场景操作：给定相同初态及结点时，改变扩散噪声仍保持软参考经过相同结点；改变结点流输入时，则重新确定中长期位移并生成与之相容的残差。该约束施加于生成的软参考。进入实际交互后，响应车辆从当前状态继续驾驶，其实际未来由交通演化决定，使结点约束的生成意图与主车行为引起的响应能够在同一世界中共同表达。</w:t>
      </w:r>
    </w:p>
    <w:p>
      <w:pPr>
        <w:spacing w:line="324" w:lineRule="auto" w:after="100"/>
        <w:ind w:firstLine="420"/>
      </w:pPr>
      <w:r>
        <w:rPr>
          <w:rFonts w:ascii="Times New Roman" w:hAnsi="Times New Roman" w:eastAsia="Noto Serif CJK SC"/>
          <w:b w:val="0"/>
          <w:sz w:val="22"/>
        </w:rPr>
        <w:t>跟踪器依据软参考的位置、速度及加速度，采用前馈和位置、速度反馈生成纵向控制，依据参考偏航率、航向与位置反馈生成横向控制，再由统一动力学执行。每个物理步评估计划适用性：对尚未进入响应控制的背景车，使用剩余参考并校正当前跟踪偏差；对主车及已实际响应的车辆，使用当前状态与因果历史外推。短时预测不读取主车未来控制。</w:t>
      </w:r>
    </w:p>
    <w:p>
      <w:pPr>
        <w:keepNext/>
        <w:spacing w:line="324" w:lineRule="auto" w:after="100"/>
        <w:ind w:firstLine="420"/>
      </w:pPr>
      <w:r>
        <w:rPr>
          <w:rFonts w:ascii="Times New Roman" w:hAnsi="Times New Roman" w:eastAsia="Noto Serif CJK SC"/>
          <w:b w:val="0"/>
          <w:sz w:val="22"/>
        </w:rPr>
        <w:t>为保留误差的时间相关性，从自然数据建立完整的短时预测误差轨迹库。每条误差轨迹同时保存纵向、横向及航向偏差；按运动状态选取成组样本，分别叠加到候选车辆对的基准预测。在每组完整预测中检查整个时域是否出现有向车身相交，以样本支持度表示该项证据：</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q</m:t>
            </m:r>
          </m:e>
          <m:sub>
            <m:r>
              <m:rPr>
                <m:sty m:val="i"/>
              </m:rPr>
              <w:rPr>
                <w:rFonts w:ascii="Cambria Math" w:hAnsi="Cambria Math"/>
                <w:sz w:val="22"/>
              </w:rPr>
              <m:t>i</m:t>
            </m:r>
            <m:r>
              <m:rPr>
                <m:sty m:val="i"/>
              </m:rPr>
              <w:rPr>
                <w:rFonts w:ascii="Cambria Math" w:hAnsi="Cambria Math"/>
                <w:sz w:val="22"/>
              </w:rPr>
              <m:t>j</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m:t>
        </m:r>
        <m:f>
          <m:num>
            <m:r>
              <m:rPr>
                <m:sty m:val="p"/>
              </m:rPr>
              <w:rPr>
                <w:rFonts w:ascii="Cambria Math" w:hAnsi="Cambria Math"/>
                <w:sz w:val="22"/>
              </w:rPr>
              <m:t>1</m:t>
            </m:r>
          </m:num>
          <m:den>
            <m:r>
              <m:rPr>
                <m:sty m:val="i"/>
              </m:rPr>
              <w:rPr>
                <w:rFonts w:ascii="Cambria Math" w:hAnsi="Cambria Math"/>
                <w:sz w:val="22"/>
              </w:rPr>
              <m:t>L</m:t>
            </m:r>
          </m:den>
        </m:f>
        <m:sSubSup>
          <m:e>
            <m:r>
              <m:rPr>
                <m:sty m:val="p"/>
              </m:rPr>
              <w:rPr>
                <w:rFonts w:ascii="Cambria Math" w:hAnsi="Cambria Math"/>
                <w:sz w:val="22"/>
              </w:rPr>
              <m:t>∑</m:t>
            </m:r>
          </m:e>
          <m:sub>
            <m:r>
              <m:rPr>
                <m:sty m:val="i"/>
              </m:rPr>
              <w:rPr>
                <w:rFonts w:ascii="Cambria Math" w:hAnsi="Cambria Math"/>
                <w:sz w:val="22"/>
              </w:rPr>
              <m:t>ℓ</m:t>
            </m:r>
            <m:r>
              <m:rPr>
                <m:sty m:val="p"/>
              </m:rPr>
              <w:rPr>
                <w:rFonts w:ascii="Cambria Math" w:hAnsi="Cambria Math"/>
                <w:sz w:val="22"/>
              </w:rPr>
              <m:t>=</m:t>
            </m:r>
            <m:r>
              <m:rPr>
                <m:sty m:val="p"/>
              </m:rPr>
              <w:rPr>
                <w:rFonts w:ascii="Cambria Math" w:hAnsi="Cambria Math"/>
                <w:sz w:val="22"/>
              </w:rPr>
              <m:t>1</m:t>
            </m:r>
          </m:sub>
          <m:sup>
            <m:r>
              <m:rPr>
                <m:sty m:val="i"/>
              </m:rPr>
              <w:rPr>
                <w:rFonts w:ascii="Cambria Math" w:hAnsi="Cambria Math"/>
                <w:sz w:val="22"/>
              </w:rPr>
              <m:t>L</m:t>
            </m:r>
          </m:sup>
        </m:sSubSup>
        <m:r>
          <m:rPr>
            <m:sty m:val="b"/>
          </m:rPr>
          <w:rPr>
            <w:rFonts w:ascii="Cambria Math" w:hAnsi="Cambria Math"/>
            <w:sz w:val="22"/>
          </w:rPr>
          <m:t>1</m:t>
        </m:r>
        <m:d>
          <m:dPr>
            <m:begChr m:val="{"/>
            <m:endChr m:val="}"/>
          </m:dPr>
          <m:e>
            <m:sSub>
              <m:e>
                <m:r>
                  <m:rPr>
                    <m:sty m:val="p"/>
                  </m:rPr>
                  <w:rPr>
                    <w:rFonts w:ascii="Cambria Math" w:hAnsi="Cambria Math"/>
                    <w:sz w:val="22"/>
                  </w:rPr>
                  <m:t>min</m:t>
                </m:r>
              </m:e>
              <m:sub>
                <m:r>
                  <m:rPr>
                    <m:sty m:val="i"/>
                  </m:rPr>
                  <w:rPr>
                    <w:rFonts w:ascii="Cambria Math" w:hAnsi="Cambria Math"/>
                    <w:sz w:val="22"/>
                  </w:rPr>
                  <m:t>s</m:t>
                </m:r>
                <m:r>
                  <m:rPr>
                    <m:sty m:val="p"/>
                  </m:rPr>
                  <w:rPr>
                    <w:rFonts w:ascii="Cambria Math" w:hAnsi="Cambria Math"/>
                    <w:sz w:val="22"/>
                  </w:rPr>
                  <m:t>∈</m:t>
                </m:r>
                <m:sSub>
                  <m:e>
                    <m:r>
                      <m:rPr>
                        <m:scr m:val="script"/>
                        <m:sty m:val="p"/>
                      </m:rPr>
                      <w:rPr>
                        <w:rFonts w:ascii="Cambria Math" w:hAnsi="Cambria Math"/>
                        <w:sz w:val="22"/>
                      </w:rPr>
                      <m:t>T</m:t>
                    </m:r>
                  </m:e>
                  <m:sub>
                    <m:r>
                      <m:rPr>
                        <m:sty m:val="i"/>
                      </m:rPr>
                      <w:rPr>
                        <w:rFonts w:ascii="Cambria Math" w:hAnsi="Cambria Math"/>
                        <w:sz w:val="22"/>
                      </w:rPr>
                      <m:t>t</m:t>
                    </m:r>
                  </m:sub>
                </m:sSub>
              </m:sub>
            </m:sSub>
            <m:sSubSup>
              <m:e>
                <m:r>
                  <m:rPr>
                    <m:sty m:val="i"/>
                  </m:rPr>
                  <w:rPr>
                    <w:rFonts w:ascii="Cambria Math" w:hAnsi="Cambria Math"/>
                    <w:sz w:val="22"/>
                  </w:rPr>
                  <m:t>d</m:t>
                </m:r>
              </m:e>
              <m:sub>
                <m:r>
                  <m:rPr>
                    <m:sty m:val="i"/>
                  </m:rPr>
                  <w:rPr>
                    <w:rFonts w:ascii="Cambria Math" w:hAnsi="Cambria Math"/>
                    <w:sz w:val="22"/>
                  </w:rPr>
                  <m:t>i</m:t>
                </m:r>
                <m:r>
                  <m:rPr>
                    <m:sty m:val="i"/>
                  </m:rPr>
                  <w:rPr>
                    <w:rFonts w:ascii="Cambria Math" w:hAnsi="Cambria Math"/>
                    <w:sz w:val="22"/>
                  </w:rPr>
                  <m:t>j</m:t>
                </m:r>
              </m:sub>
              <m:sup>
                <m:d>
                  <m:dPr>
                    <m:begChr m:val="("/>
                    <m:endChr m:val=")"/>
                  </m:dPr>
                  <m:e>
                    <m:r>
                      <m:rPr>
                        <m:sty m:val="i"/>
                      </m:rPr>
                      <w:rPr>
                        <w:rFonts w:ascii="Cambria Math" w:hAnsi="Cambria Math"/>
                        <w:sz w:val="22"/>
                      </w:rPr>
                      <m:t>ℓ</m:t>
                    </m:r>
                  </m:e>
                </m:d>
              </m:sup>
            </m:sSubSup>
            <m:r>
              <m:rPr>
                <m:sty m:val="p"/>
              </m:rPr>
              <w:rPr>
                <w:rFonts w:ascii="Cambria Math" w:hAnsi="Cambria Math"/>
                <w:sz w:val="22"/>
              </w:rPr>
              <m:t>(</m:t>
            </m:r>
            <m:r>
              <m:rPr>
                <m:sty m:val="i"/>
              </m:rPr>
              <w:rPr>
                <w:rFonts w:ascii="Cambria Math" w:hAnsi="Cambria Math"/>
                <w:sz w:val="22"/>
              </w:rPr>
              <m:t>s</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m:t>
            </m:r>
          </m:e>
        </m:d>
      </m:oMath>
      <w:r>
        <w:rPr>
          <w:rFonts w:ascii="Times New Roman" w:hAnsi="Times New Roman" w:eastAsia="Noto Serif CJK SC"/>
          <w:b w:val="0"/>
          <w:sz w:val="20"/>
        </w:rPr>
        <w:tab/>
        <w:t>（5）</w:t>
      </w:r>
    </w:p>
    <w:p>
      <w:pPr>
        <w:spacing w:line="324" w:lineRule="auto" w:after="100"/>
        <w:ind w:firstLine="420"/>
      </w:pPr>
      <w:r>
        <w:rPr>
          <w:rFonts w:ascii="Times New Roman" w:hAnsi="Times New Roman" w:eastAsia="Noto Serif CJK SC"/>
          <w:b w:val="0"/>
          <w:sz w:val="22"/>
        </w:rPr>
        <w:t>式（5）中，</w:t>
      </w:r>
      <m:oMath>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j</m:t>
        </m:r>
      </m:oMath>
      <w:r>
        <w:rPr>
          <w:rFonts w:ascii="Times New Roman" w:hAnsi="Times New Roman" w:eastAsia="Noto Serif CJK SC"/>
          <w:b w:val="0"/>
          <w:sz w:val="22"/>
        </w:rPr>
        <w:t>为车辆索引，</w:t>
      </w:r>
      <m:oMath>
        <m:sSub>
          <m:e>
            <m:r>
              <m:rPr>
                <m:scr m:val="script"/>
                <m:sty m:val="p"/>
              </m:rPr>
              <w:rPr>
                <w:rFonts w:ascii="Cambria Math" w:hAnsi="Cambria Math"/>
                <w:sz w:val="22"/>
              </w:rPr>
              <m:t>T</m:t>
            </m:r>
          </m:e>
          <m:sub>
            <m:r>
              <m:rPr>
                <m:sty m:val="i"/>
              </m:rPr>
              <w:rPr>
                <w:rFonts w:ascii="Cambria Math" w:hAnsi="Cambria Math"/>
                <w:sz w:val="22"/>
              </w:rPr>
              <m:t>t</m:t>
            </m:r>
          </m:sub>
        </m:sSub>
      </m:oMath>
      <w:r>
        <w:rPr>
          <w:rFonts w:ascii="Times New Roman" w:hAnsi="Times New Roman" w:eastAsia="Noto Serif CJK SC"/>
          <w:b w:val="0"/>
          <w:sz w:val="22"/>
        </w:rPr>
        <w:t>为当前时刻后的短时预测区间，</w:t>
      </w:r>
      <m:oMath>
        <m:r>
          <m:rPr>
            <m:sty m:val="i"/>
          </m:rPr>
          <w:rPr>
            <w:rFonts w:ascii="Cambria Math" w:hAnsi="Cambria Math"/>
            <w:sz w:val="22"/>
          </w:rPr>
          <m:t>L</m:t>
        </m:r>
      </m:oMath>
      <w:r>
        <w:rPr>
          <w:rFonts w:ascii="Times New Roman" w:hAnsi="Times New Roman" w:eastAsia="Noto Serif CJK SC"/>
          <w:b w:val="0"/>
          <w:sz w:val="22"/>
        </w:rPr>
        <w:t>为成组完整误差实现数量，</w:t>
      </w:r>
      <m:oMath>
        <m:sSubSup>
          <m:e>
            <m:r>
              <m:rPr>
                <m:sty m:val="i"/>
              </m:rPr>
              <w:rPr>
                <w:rFonts w:ascii="Cambria Math" w:hAnsi="Cambria Math"/>
                <w:sz w:val="22"/>
              </w:rPr>
              <m:t>d</m:t>
            </m:r>
          </m:e>
          <m:sub>
            <m:r>
              <m:rPr>
                <m:sty m:val="i"/>
              </m:rPr>
              <w:rPr>
                <w:rFonts w:ascii="Cambria Math" w:hAnsi="Cambria Math"/>
                <w:sz w:val="22"/>
              </w:rPr>
              <m:t>i</m:t>
            </m:r>
            <m:r>
              <m:rPr>
                <m:sty m:val="i"/>
              </m:rPr>
              <w:rPr>
                <w:rFonts w:ascii="Cambria Math" w:hAnsi="Cambria Math"/>
                <w:sz w:val="22"/>
              </w:rPr>
              <m:t>j</m:t>
            </m:r>
          </m:sub>
          <m:sup>
            <m:d>
              <m:dPr>
                <m:begChr m:val="("/>
                <m:endChr m:val=")"/>
              </m:dPr>
              <m:e>
                <m:r>
                  <m:rPr>
                    <m:sty m:val="i"/>
                  </m:rPr>
                  <w:rPr>
                    <w:rFonts w:ascii="Cambria Math" w:hAnsi="Cambria Math"/>
                    <w:sz w:val="22"/>
                  </w:rPr>
                  <m:t>ℓ</m:t>
                </m:r>
              </m:e>
            </m:d>
          </m:sup>
        </m:sSubSup>
        <m:r>
          <m:rPr>
            <m:sty m:val="p"/>
          </m:rPr>
          <w:rPr>
            <w:rFonts w:ascii="Cambria Math" w:hAnsi="Cambria Math"/>
            <w:sz w:val="22"/>
          </w:rPr>
          <m:t>(</m:t>
        </m:r>
        <m:r>
          <m:rPr>
            <m:sty m:val="i"/>
          </m:rPr>
          <w:rPr>
            <w:rFonts w:ascii="Cambria Math" w:hAnsi="Cambria Math"/>
            <w:sz w:val="22"/>
          </w:rPr>
          <m:t>s</m:t>
        </m:r>
        <m:r>
          <m:rPr>
            <m:sty m:val="p"/>
          </m:rPr>
          <w:rPr>
            <w:rFonts w:ascii="Cambria Math" w:hAnsi="Cambria Math"/>
            <w:sz w:val="22"/>
          </w:rPr>
          <m:t>)</m:t>
        </m:r>
      </m:oMath>
      <w:r>
        <w:rPr>
          <w:rFonts w:ascii="Times New Roman" w:hAnsi="Times New Roman" w:eastAsia="Noto Serif CJK SC"/>
          <w:b w:val="0"/>
          <w:sz w:val="22"/>
        </w:rPr>
        <w:t>为第</w:t>
      </w:r>
      <m:oMath>
        <m:r>
          <m:rPr>
            <m:sty m:val="i"/>
          </m:rPr>
          <w:rPr>
            <w:rFonts w:ascii="Cambria Math" w:hAnsi="Cambria Math"/>
            <w:sz w:val="22"/>
          </w:rPr>
          <m:t>ℓ</m:t>
        </m:r>
      </m:oMath>
      <w:r>
        <w:rPr>
          <w:rFonts w:ascii="Times New Roman" w:hAnsi="Times New Roman" w:eastAsia="Noto Serif CJK SC"/>
          <w:b w:val="0"/>
          <w:sz w:val="22"/>
        </w:rPr>
        <w:t>组实现中两车在时刻</w:t>
      </w:r>
      <m:oMath>
        <m:r>
          <m:rPr>
            <m:sty m:val="i"/>
          </m:rPr>
          <w:rPr>
            <w:rFonts w:ascii="Cambria Math" w:hAnsi="Cambria Math"/>
            <w:sz w:val="22"/>
          </w:rPr>
          <m:t>s</m:t>
        </m:r>
      </m:oMath>
      <w:r>
        <w:rPr>
          <w:rFonts w:ascii="Times New Roman" w:hAnsi="Times New Roman" w:eastAsia="Noto Serif CJK SC"/>
          <w:b w:val="0"/>
          <w:sz w:val="22"/>
        </w:rPr>
        <w:t>的有向矩形分离量，</w:t>
      </w:r>
      <m:oMath>
        <m:r>
          <m:rPr>
            <m:sty m:val="b"/>
          </m:rPr>
          <w:rPr>
            <w:rFonts w:ascii="Cambria Math" w:hAnsi="Cambria Math"/>
            <w:sz w:val="22"/>
          </w:rPr>
          <m:t>1</m:t>
        </m:r>
      </m:oMath>
      <w:r>
        <w:rPr>
          <w:rFonts w:ascii="Times New Roman" w:hAnsi="Times New Roman" w:eastAsia="Noto Serif CJK SC"/>
          <w:b w:val="0"/>
          <w:sz w:val="22"/>
        </w:rPr>
        <w:t>为条件成立时取1的指示函数。矩形相交对应非正分离量；车辆前后关系及主动换道关系决定需检查的方向。本实施例取16组及支持度门限1/16，该支持度是经验触发证据。</w:t>
      </w:r>
    </w:p>
    <w:p>
      <w:pPr>
        <w:spacing w:line="324" w:lineRule="auto" w:after="100"/>
        <w:ind w:firstLine="420"/>
      </w:pPr>
      <w:r>
        <w:rPr>
          <w:rFonts w:ascii="Times New Roman" w:hAnsi="Times New Roman" w:eastAsia="Noto Serif CJK SC"/>
          <w:b w:val="0"/>
          <w:sz w:val="22"/>
        </w:rPr>
        <w:t>计划适用性同时检查非碰撞交互变化。已建立的近处领车加速而本车继续原计划会明显扩大间距时，计算跟驰条件变化分数；原领车离开本车通道且原计划尚未安排对应响应时，计算通道释放分数。两项按Train尺度归一化后与预定门限比较，避免把无关邻车离开误判为本车通道释放。</w:t>
      </w:r>
    </w:p>
    <w:p>
      <w:pPr>
        <w:keepNext/>
        <w:spacing w:line="324" w:lineRule="auto" w:after="100"/>
        <w:ind w:firstLine="420"/>
      </w:pPr>
      <w:r>
        <w:rPr>
          <w:rFonts w:ascii="Times New Roman" w:hAnsi="Times New Roman" w:eastAsia="Noto Serif CJK SC"/>
          <w:b w:val="0"/>
          <w:sz w:val="22"/>
        </w:rPr>
        <w:t>用二值状态</w:t>
      </w:r>
      <m:oMath>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2"/>
        </w:rPr>
        <w:t>表示第</w:t>
      </w:r>
      <m:oMath>
        <m:r>
          <m:rPr>
            <m:sty m:val="i"/>
          </m:rPr>
          <w:rPr>
            <w:rFonts w:ascii="Cambria Math" w:hAnsi="Cambria Math"/>
            <w:sz w:val="22"/>
          </w:rPr>
          <m:t>i</m:t>
        </m:r>
      </m:oMath>
      <w:r>
        <w:rPr>
          <w:rFonts w:ascii="Times New Roman" w:hAnsi="Times New Roman" w:eastAsia="Noto Serif CJK SC"/>
          <w:b w:val="0"/>
          <w:sz w:val="22"/>
        </w:rPr>
        <w:t>辆背景车是否已经交由响应策略控制：</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0"/>
        </w:rPr>
        <w:tab/>
        <w:t>（6）</w:t>
      </w:r>
    </w:p>
    <w:p>
      <w:pPr>
        <w:spacing w:line="324" w:lineRule="auto" w:after="100"/>
        <w:ind w:firstLine="420"/>
      </w:pPr>
      <w:r>
        <w:rPr>
          <w:rFonts w:ascii="Times New Roman" w:hAnsi="Times New Roman" w:eastAsia="Noto Serif CJK SC"/>
          <w:b w:val="0"/>
          <w:sz w:val="22"/>
        </w:rPr>
        <w:t>式（6）中，</w:t>
      </w:r>
      <m:oMath>
        <m:sSub>
          <m:e>
            <m:r>
              <m:rPr>
                <m:sty m:val="i"/>
              </m:rPr>
              <w:rPr>
                <w:rFonts w:ascii="Cambria Math" w:hAnsi="Cambria Math"/>
                <w:sz w:val="22"/>
              </w:rPr>
              <m:t>A</m:t>
            </m:r>
          </m:e>
          <m:sub>
            <m:r>
              <m:rPr>
                <m:sty m:val="i"/>
              </m:rPr>
              <w:rPr>
                <w:rFonts w:ascii="Cambria Math" w:hAnsi="Cambria Math"/>
                <w:sz w:val="22"/>
              </w:rPr>
              <m:t>i</m:t>
            </m:r>
          </m:sub>
        </m:sSub>
        <m:r>
          <m:rPr>
            <m:sty m:val="p"/>
          </m:rPr>
          <w:rPr>
            <w:rFonts w:ascii="Cambria Math" w:hAnsi="Cambria Math"/>
            <w:sz w:val="22"/>
          </w:rPr>
          <m:t>(</m:t>
        </m:r>
        <m:r>
          <m:rPr>
            <m:sty m:val="i"/>
          </m:rPr>
          <w:rPr>
            <w:rFonts w:ascii="Cambria Math" w:hAnsi="Cambria Math"/>
            <w:sz w:val="22"/>
          </w:rPr>
          <m:t>t</m:t>
        </m:r>
        <m:r>
          <m:rPr>
            <m:sty m:val="p"/>
          </m:rPr>
          <w:rPr>
            <w:rFonts w:ascii="Cambria Math" w:hAnsi="Cambria Math"/>
            <w:sz w:val="22"/>
          </w:rPr>
          <m:t>)</m:t>
        </m:r>
      </m:oMath>
      <w:r>
        <w:rPr>
          <w:rFonts w:ascii="Times New Roman" w:hAnsi="Times New Roman" w:eastAsia="Noto Serif CJK SC"/>
          <w:b w:val="0"/>
          <w:sz w:val="22"/>
        </w:rPr>
        <w:t>为占用冲突、跟驰条件变化、通道释放或参考到期中任一预定接管条件成立的标志，</w:t>
      </w:r>
      <m:oMath>
        <m:r>
          <m:rPr>
            <m:sty m:val="p"/>
          </m:rPr>
          <w:rPr>
            <w:rFonts w:ascii="Cambria Math" w:hAnsi="Cambria Math"/>
            <w:sz w:val="22"/>
          </w:rPr>
          <m:t>∨</m:t>
        </m:r>
      </m:oMath>
      <w:r>
        <w:rPr>
          <w:rFonts w:ascii="Times New Roman" w:hAnsi="Times New Roman" w:eastAsia="Noto Serif CJK SC"/>
          <w:b w:val="0"/>
          <w:sz w:val="22"/>
        </w:rPr>
        <w:t>表示逻辑或。尚未接管时执行参考跟踪，接管后由该车辆的驾驶策略控制至回合结束。交接承接实际位置、速度、历史、上一动作、驾驶特征及已开始机动；正在换道的车辆从当前运动状态继续面向原目标车道生成剩余运动，不从换道起点重新执行。</w:t>
      </w:r>
    </w:p>
    <w:p>
      <w:pPr>
        <w:spacing w:line="324" w:lineRule="auto" w:after="100"/>
        <w:ind w:firstLine="420"/>
      </w:pPr>
      <w:r>
        <w:rPr>
          <w:rFonts w:ascii="Times New Roman" w:hAnsi="Times New Roman" w:eastAsia="Noto Serif CJK SC"/>
          <w:b w:val="0"/>
          <w:sz w:val="22"/>
        </w:rPr>
        <w:t>控制器还将“已取得控制权”与“已实际执行偏离参考的控制”分别保存。每个物理步把上一时段实际执行的背景动作与经过相同执行限幅处理的参考跟踪动作比较；只有存在超出预定数值容差的差异，才置位实际响应标志。在对其他车辆预测时，尚未实际执行偏离控制的车辆继续提供经当前偏差校正的参考；已实际响应的车辆改用实际历史外推。因而，交接决定首先落实为真实控制，其后果再进入其他车辆的适用性判断，避免仅由控制权标签改变就产生虚构的响应传播。</w:t>
      </w:r>
    </w:p>
    <w:p>
      <w:pPr>
        <w:spacing w:line="324" w:lineRule="auto" w:after="100"/>
        <w:ind w:firstLine="420"/>
      </w:pPr>
      <w:r>
        <w:rPr>
          <w:rFonts w:ascii="Times New Roman" w:hAnsi="Times New Roman" w:eastAsia="Noto Serif CJK SC"/>
          <w:b w:val="0"/>
          <w:sz w:val="22"/>
        </w:rPr>
        <w:t>背景响应可采用经自然数据标定的智能驾驶员模型（IDM）、MOBIL换道规则及条件换道轨迹。桥接层决定原计划何时不再适用，响应策略决定具体如何驾驶。两者共用车身几何、真实领车净间距和并排、切入关系，并将驾驶及动作扰动按稳定车辆身份与绝对物理时标索引。桥接门限依据自然保持及响应要求确定，不以减少被测ADS事故数作为优化目标。</w:t>
      </w:r>
    </w:p>
    <w:p>
      <w:pPr>
        <w:keepNext/>
        <w:spacing w:line="324" w:lineRule="auto" w:after="100"/>
        <w:ind w:firstLine="0"/>
        <w:jc w:val="center"/>
      </w:pPr>
      <w:r>
        <w:rPr>
          <w:rFonts w:ascii="Times New Roman" w:hAnsi="Times New Roman" w:eastAsia="Noto Serif CJK SC"/>
          <w:b/>
          <w:sz w:val="22"/>
        </w:rPr>
        <w:t>图2 分层生成与状态承接的交互执行结构（附图占位）</w:t>
      </w:r>
    </w:p>
    <w:p>
      <w:pPr>
        <w:spacing w:line="324" w:lineRule="auto" w:after="100"/>
        <w:ind w:firstLine="420"/>
      </w:pPr>
      <w:r>
        <w:rPr>
          <w:rFonts w:ascii="Times New Roman" w:hAnsi="Times New Roman" w:eastAsia="Noto Serif CJK SC"/>
          <w:b w:val="0"/>
          <w:sz w:val="22"/>
        </w:rPr>
        <w:t>绘制占位与尺寸采样、初态Flow、结点Flow、PCHIP和扩散残差，以及软参考跟踪、适用性判断和背景响应。适用性输入区分剩余计划与因果历史，接管箭头标注实际状态、机动目标和绝对时标；分别画出控制权标志与实际响应标志，后者连接其他车辆预测的来源选择；接管后箭头不返回参考跟踪。</w:t>
      </w:r>
    </w:p>
    <w:p>
      <w:pPr>
        <w:spacing w:line="324" w:lineRule="auto" w:after="100"/>
        <w:ind w:firstLine="420"/>
      </w:pPr>
      <w:r>
        <w:rPr>
          <w:rFonts w:ascii="Times New Roman" w:hAnsi="Times New Roman" w:eastAsia="Noto Serif CJK SC"/>
          <w:b w:val="0"/>
          <w:sz w:val="22"/>
        </w:rPr>
        <w:t>下列既有工程实例用于说明上述交互执行。在相同脚本制动条件下，响应臂与纯跟踪臂采用相同起点，展示主车行为变化怎样进入周车控制。该图用于说明交通响应机制。</w:t>
      </w:r>
    </w:p>
    <w:p>
      <w:pPr>
        <w:keepNext/>
        <w:spacing w:before="100" w:after="60"/>
        <w:jc w:val="center"/>
      </w:pPr>
      <w:r>
        <w:drawing>
          <wp:inline xmlns:a="http://schemas.openxmlformats.org/drawingml/2006/main" xmlns:pic="http://schemas.openxmlformats.org/drawingml/2006/picture">
            <wp:extent cx="5796000" cy="2449889"/>
            <wp:docPr id="1" name="Picture 1" descr="主车制动条件下参考跟踪与响应执行的既有记录"/>
            <wp:cNvGraphicFramePr>
              <a:graphicFrameLocks noChangeAspect="1"/>
            </wp:cNvGraphicFramePr>
            <a:graphic>
              <a:graphicData uri="http://schemas.openxmlformats.org/drawingml/2006/picture">
                <pic:pic>
                  <pic:nvPicPr>
                    <pic:cNvPr id="0" name="E05_braking_response.png"/>
                    <pic:cNvPicPr/>
                  </pic:nvPicPr>
                  <pic:blipFill>
                    <a:blip r:embed="rId10"/>
                    <a:stretch>
                      <a:fillRect/>
                    </a:stretch>
                  </pic:blipFill>
                  <pic:spPr>
                    <a:xfrm>
                      <a:off x="0" y="0"/>
                      <a:ext cx="5796000" cy="2449889"/>
                    </a:xfrm>
                    <a:prstGeom prst="rect"/>
                  </pic:spPr>
                </pic:pic>
              </a:graphicData>
            </a:graphic>
          </wp:inline>
        </w:drawing>
      </w:r>
    </w:p>
    <w:p>
      <w:pPr>
        <w:keepNext w:val="0"/>
        <w:spacing w:line="324" w:lineRule="auto" w:after="100"/>
        <w:ind w:firstLine="0"/>
        <w:jc w:val="center"/>
      </w:pPr>
      <w:r>
        <w:rPr>
          <w:rFonts w:ascii="Times New Roman" w:hAnsi="Times New Roman" w:eastAsia="Noto Serif CJK SC"/>
          <w:b/>
          <w:sz w:val="22"/>
        </w:rPr>
        <w:t>图3 主车制动后的背景车辆响应（已有工程实例）</w:t>
      </w:r>
    </w:p>
    <w:p>
      <w:pPr>
        <w:spacing w:line="324" w:lineRule="auto" w:after="100"/>
        <w:ind w:firstLine="420"/>
      </w:pPr>
      <w:r>
        <w:rPr>
          <w:rFonts w:ascii="Times New Roman" w:hAnsi="Times New Roman" w:eastAsia="Noto Serif CJK SC"/>
          <w:b w:val="0"/>
          <w:sz w:val="22"/>
        </w:rPr>
        <w:t>另一既有实例在2.60秒交接时记录到换道已经开始，归一化进度约0.854。实际位置、速度与控制记录用于说明交接从已发生的机动继续；图中保留回合后续碰撞时刻，响应执行的合理性与主车能否避免事故分别判断。</w:t>
      </w:r>
    </w:p>
    <w:p>
      <w:pPr>
        <w:keepNext/>
        <w:spacing w:before="100" w:after="60"/>
        <w:jc w:val="center"/>
      </w:pPr>
      <w:r>
        <w:drawing>
          <wp:inline xmlns:a="http://schemas.openxmlformats.org/drawingml/2006/main" xmlns:pic="http://schemas.openxmlformats.org/drawingml/2006/picture">
            <wp:extent cx="5796000" cy="2449889"/>
            <wp:docPr id="2" name="Picture 2" descr="已开始换道的实际状态承接记录"/>
            <wp:cNvGraphicFramePr>
              <a:graphicFrameLocks noChangeAspect="1"/>
            </wp:cNvGraphicFramePr>
            <a:graphic>
              <a:graphicData uri="http://schemas.openxmlformats.org/drawingml/2006/picture">
                <pic:pic>
                  <pic:nvPicPr>
                    <pic:cNvPr id="0" name="E08_maneuver_handover.png"/>
                    <pic:cNvPicPr/>
                  </pic:nvPicPr>
                  <pic:blipFill>
                    <a:blip r:embed="rId11"/>
                    <a:stretch>
                      <a:fillRect/>
                    </a:stretch>
                  </pic:blipFill>
                  <pic:spPr>
                    <a:xfrm>
                      <a:off x="0" y="0"/>
                      <a:ext cx="5796000" cy="2449889"/>
                    </a:xfrm>
                    <a:prstGeom prst="rect"/>
                  </pic:spPr>
                </pic:pic>
              </a:graphicData>
            </a:graphic>
          </wp:inline>
        </w:drawing>
      </w:r>
    </w:p>
    <w:p>
      <w:pPr>
        <w:keepNext w:val="0"/>
        <w:spacing w:line="324" w:lineRule="auto" w:after="100"/>
        <w:ind w:firstLine="0"/>
        <w:jc w:val="center"/>
      </w:pPr>
      <w:r>
        <w:rPr>
          <w:rFonts w:ascii="Times New Roman" w:hAnsi="Times New Roman" w:eastAsia="Noto Serif CJK SC"/>
          <w:b/>
          <w:sz w:val="22"/>
        </w:rPr>
        <w:t>图4 已开始换道的接管与机动承接（已有工程实例）</w:t>
      </w:r>
    </w:p>
    <w:p>
      <w:pPr>
        <w:pStyle w:val="Heading2"/>
        <w:keepNext/>
        <w:spacing w:before="160" w:after="100"/>
      </w:pPr>
      <w:r>
        <w:rPr>
          <w:rFonts w:ascii="Times New Roman" w:hAnsi="Times New Roman" w:eastAsia="Noto Serif CJK SC"/>
          <w:b/>
          <w:sz w:val="23"/>
        </w:rPr>
        <w:t>4.3 可恢复生成输入与多分支风险搜索</w:t>
      </w:r>
    </w:p>
    <w:p>
      <w:pPr>
        <w:spacing w:line="324" w:lineRule="auto" w:after="100"/>
        <w:ind w:firstLine="420"/>
      </w:pPr>
      <w:r>
        <w:rPr>
          <w:rFonts w:ascii="Times New Roman" w:hAnsi="Times New Roman" w:eastAsia="Noto Serif CJK SC"/>
          <w:b w:val="0"/>
          <w:sz w:val="22"/>
        </w:rPr>
        <w:t>将世界采样所需输入明确保存为八类基础随机变量</w:t>
      </w:r>
      <m:oMath>
        <m:r>
          <m:rPr>
            <m:sty m:val="i"/>
          </m:rPr>
          <w:rPr>
            <w:rFonts w:ascii="Cambria Math" w:hAnsi="Cambria Math"/>
            <w:sz w:val="22"/>
          </w:rPr>
          <m:t>ω</m:t>
        </m:r>
      </m:oMath>
      <w:r>
        <w:rPr>
          <w:rFonts w:ascii="Times New Roman" w:hAnsi="Times New Roman" w:eastAsia="Noto Serif CJK SC"/>
          <w:b w:val="0"/>
          <w:sz w:val="22"/>
        </w:rPr>
        <w:t>：场景结构均匀变量、初态流变量、结点流变量、软参考扩散噪声、驾驶特征变量、机动特征变量、逐车逐时响应扰动及标定扰动。除结构变量外，可采用独立标准高斯数组；结构均匀变量通过经验分布的累计概率确定占位及条件尺寸样本。实际使用的标定扰动位置按既有执行接口限定。</w:t>
      </w:r>
    </w:p>
    <w:p>
      <w:pPr>
        <w:keepNext/>
        <w:spacing w:line="324" w:lineRule="auto" w:after="100"/>
        <w:ind w:firstLine="420"/>
      </w:pPr>
      <w:r>
        <w:rPr>
          <w:rFonts w:ascii="Times New Roman" w:hAnsi="Times New Roman" w:eastAsia="Noto Serif CJK SC"/>
          <w:b w:val="0"/>
          <w:sz w:val="22"/>
        </w:rPr>
        <w:t>将道路、初态、有效性、尺寸、软参考及相应外生变量组成完整实例</w:t>
      </w:r>
      <m:oMath>
        <m:r>
          <m:rPr>
            <m:sty m:val="i"/>
          </m:rPr>
          <w:rPr>
            <w:rFonts w:ascii="Cambria Math" w:hAnsi="Cambria Math"/>
            <w:sz w:val="22"/>
          </w:rPr>
          <m:t>I</m:t>
        </m:r>
      </m:oMath>
      <w:r>
        <w:rPr>
          <w:rFonts w:ascii="Times New Roman" w:hAnsi="Times New Roman" w:eastAsia="Noto Serif CJK SC"/>
          <w:b w:val="0"/>
          <w:sz w:val="22"/>
        </w:rPr>
        <w:t>。生成与执行关系表示为：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I</m:t>
        </m:r>
        <m:r>
          <m:rPr>
            <m:sty m:val="p"/>
          </m:rPr>
          <w:rPr>
            <w:rFonts w:ascii="Cambria Math" w:hAnsi="Cambria Math"/>
            <w:sz w:val="22"/>
          </w:rPr>
          <m:t>=</m:t>
        </m:r>
        <m:sSub>
          <m:e>
            <m:r>
              <m:rPr>
                <m:sty m:val="i"/>
              </m:rPr>
              <w:rPr>
                <w:rFonts w:ascii="Cambria Math" w:hAnsi="Cambria Math"/>
                <w:sz w:val="22"/>
              </w:rPr>
              <m:t>G</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I</m:t>
        </m:r>
        <m:r>
          <m:rPr>
            <m:sty m:val="i"/>
          </m:rPr>
          <w:rPr>
            <w:rFonts w:ascii="Cambria Math" w:hAnsi="Cambria Math"/>
            <w:sz w:val="22"/>
          </w:rPr>
          <m:t>;</m:t>
        </m:r>
        <m:r>
          <m:rPr>
            <m:sty m:val="i"/>
          </m:rPr>
          <w:rPr>
            <w:rFonts w:ascii="Cambria Math" w:hAnsi="Cambria Math"/>
            <w:sz w:val="22"/>
          </w:rPr>
          <m:t>π</m:t>
        </m:r>
        <m:r>
          <m:rPr>
            <m:sty m:val="p"/>
          </m:rPr>
          <w:rPr>
            <w:rFonts w:ascii="Cambria Math" w:hAnsi="Cambria Math"/>
            <w:sz w:val="22"/>
          </w:rPr>
          <m:t>)</m:t>
        </m:r>
      </m:oMath>
      <w:r>
        <w:rPr>
          <w:rFonts w:ascii="Times New Roman" w:hAnsi="Times New Roman" w:eastAsia="Noto Serif CJK SC"/>
          <w:b w:val="0"/>
          <w:sz w:val="20"/>
        </w:rPr>
        <w:tab/>
        <w:t>（7）</w:t>
      </w:r>
    </w:p>
    <w:p>
      <w:pPr>
        <w:spacing w:line="324" w:lineRule="auto" w:after="100"/>
        <w:ind w:firstLine="420"/>
      </w:pPr>
      <w:r>
        <w:rPr>
          <w:rFonts w:ascii="Times New Roman" w:hAnsi="Times New Roman" w:eastAsia="Noto Serif CJK SC"/>
          <w:b w:val="0"/>
          <w:sz w:val="22"/>
        </w:rPr>
        <w:t>式（7）中，</w:t>
      </w:r>
      <m:oMath>
        <m:sSub>
          <m:e>
            <m:r>
              <m:rPr>
                <m:sty m:val="i"/>
              </m:rPr>
              <w:rPr>
                <w:rFonts w:ascii="Cambria Math" w:hAnsi="Cambria Math"/>
                <w:sz w:val="22"/>
              </w:rPr>
              <m:t>G</m:t>
            </m:r>
          </m:e>
          <m:sub>
            <m:r>
              <m:rPr>
                <m:sty m:val="i"/>
              </m:rPr>
              <w:rPr>
                <w:rFonts w:ascii="Cambria Math" w:hAnsi="Cambria Math"/>
                <w:sz w:val="22"/>
              </w:rPr>
              <m:t>Θ</m:t>
            </m:r>
          </m:sub>
        </m:sSub>
      </m:oMath>
      <w:r>
        <w:rPr>
          <w:rFonts w:ascii="Times New Roman" w:hAnsi="Times New Roman" w:eastAsia="Noto Serif CJK SC"/>
          <w:b w:val="0"/>
          <w:sz w:val="22"/>
        </w:rPr>
        <w:t>为固定世界的实例化映射，</w:t>
      </w:r>
      <m:oMath>
        <m:sSub>
          <m:e>
            <m:r>
              <m:rPr>
                <m:sty m:val="i"/>
              </m:rPr>
              <w:rPr>
                <w:rFonts w:ascii="Cambria Math" w:hAnsi="Cambria Math"/>
                <w:sz w:val="22"/>
              </w:rPr>
              <m:t>S</m:t>
            </m:r>
          </m:e>
          <m:sub>
            <m:r>
              <m:rPr>
                <m:sty m:val="i"/>
              </m:rPr>
              <w:rPr>
                <w:rFonts w:ascii="Cambria Math" w:hAnsi="Cambria Math"/>
                <w:sz w:val="22"/>
              </w:rPr>
              <m:t>Θ</m:t>
            </m:r>
          </m:sub>
        </m:sSub>
      </m:oMath>
      <w:r>
        <w:rPr>
          <w:rFonts w:ascii="Times New Roman" w:hAnsi="Times New Roman" w:eastAsia="Noto Serif CJK SC"/>
          <w:b w:val="0"/>
          <w:sz w:val="22"/>
        </w:rPr>
        <w:t>为包含参考跟踪、交通响应及动力学的闭环执行映射，</w:t>
      </w:r>
      <m:oMath>
        <m:r>
          <m:rPr>
            <m:sty m:val="i"/>
          </m:rPr>
          <w:rPr>
            <w:rFonts w:ascii="Cambria Math" w:hAnsi="Cambria Math"/>
            <w:sz w:val="22"/>
          </w:rPr>
          <m:t>π</m:t>
        </m:r>
      </m:oMath>
      <w:r>
        <w:rPr>
          <w:rFonts w:ascii="Times New Roman" w:hAnsi="Times New Roman" w:eastAsia="Noto Serif CJK SC"/>
          <w:b w:val="0"/>
          <w:sz w:val="22"/>
        </w:rPr>
        <w:t>为当前被测策略，</w:t>
      </w:r>
      <m:oMath>
        <m:sSub>
          <m:e>
            <m:r>
              <m:rPr>
                <m:sty m:val="i"/>
              </m:rPr>
              <w:rPr>
                <w:rFonts w:ascii="Cambria Math" w:hAnsi="Cambria Math"/>
                <w:sz w:val="22"/>
              </w:rPr>
              <m:t>τ</m:t>
            </m:r>
          </m:e>
          <m:sub>
            <m:r>
              <m:rPr>
                <m:sty m:val="i"/>
              </m:rPr>
              <w:rPr>
                <w:rFonts w:ascii="Cambria Math" w:hAnsi="Cambria Math"/>
                <w:sz w:val="22"/>
              </w:rPr>
              <m:t>π</m:t>
            </m:r>
          </m:sub>
        </m:sSub>
      </m:oMath>
      <w:r>
        <w:rPr>
          <w:rFonts w:ascii="Times New Roman" w:hAnsi="Times New Roman" w:eastAsia="Noto Serif CJK SC"/>
          <w:b w:val="0"/>
          <w:sz w:val="22"/>
        </w:rPr>
        <w:t>为实际联合轨迹。实例以数组及资产标识保存，记录独立采样祖先、父代、扰动组和内容校验值。ADS自身的采样随机量与世界搜索变量分开，按实例及决策索引控制。</w:t>
      </w:r>
    </w:p>
    <w:p>
      <w:pPr>
        <w:spacing w:line="324" w:lineRule="auto" w:after="100"/>
        <w:ind w:firstLine="420"/>
      </w:pPr>
      <w:r>
        <w:rPr>
          <w:rFonts w:ascii="Times New Roman" w:hAnsi="Times New Roman" w:eastAsia="Noto Serif CJK SC"/>
          <w:b w:val="0"/>
          <w:sz w:val="22"/>
        </w:rPr>
        <w:t>其中，驾驶和响应扰动直接保存为可索引数组，逐车逐时元素在不同控制分支中仍对应相同物理时刻。重测时同时恢复生成输入、实例内容及世界资产；车辆是否接管、主车是否提前制动可以改变其实际演化，但不会使另一时刻的随机元素被错当成当前输入。该输入对应关系也用于专家纠正验证，使不同主车行为接受同一外生条件下的交互检验。</w:t>
      </w:r>
    </w:p>
    <w:p>
      <w:pPr>
        <w:keepNext/>
        <w:spacing w:line="324" w:lineRule="auto" w:after="100"/>
        <w:ind w:firstLine="420"/>
      </w:pPr>
      <w:r>
        <w:rPr>
          <w:rFonts w:ascii="Times New Roman" w:hAnsi="Times New Roman" w:eastAsia="Noto Serif CJK SC"/>
          <w:b w:val="0"/>
          <w:sz w:val="22"/>
        </w:rPr>
        <w:t>初始搜索从世界先验独立采样，在实际轨迹上分别记录碰撞、道路越界、停车和风险。令</w:t>
      </w:r>
      <m:oMath>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oMath>
      <w:r>
        <w:rPr>
          <w:rFonts w:ascii="Times New Roman" w:hAnsi="Times New Roman" w:eastAsia="Noto Serif CJK SC"/>
          <w:b w:val="0"/>
          <w:sz w:val="22"/>
        </w:rPr>
        <w:t>表示碰撞或越界这一安全失效标志；用于条件层推进的分数为：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H</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π</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m:t>
        </m:r>
        <m:f>
          <m:num>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num>
          <m:den>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den>
        </m:f>
      </m:oMath>
      <w:r>
        <w:rPr>
          <w:rFonts w:ascii="Times New Roman" w:hAnsi="Times New Roman" w:eastAsia="Noto Serif CJK SC"/>
          <w:b w:val="0"/>
          <w:sz w:val="20"/>
        </w:rPr>
        <w:tab/>
        <w:t>（8）</w:t>
      </w:r>
    </w:p>
    <w:p>
      <w:pPr>
        <w:spacing w:line="324" w:lineRule="auto" w:after="100"/>
        <w:ind w:firstLine="420"/>
      </w:pPr>
      <w:r>
        <w:rPr>
          <w:rFonts w:ascii="Times New Roman" w:hAnsi="Times New Roman" w:eastAsia="Noto Serif CJK SC"/>
          <w:b w:val="0"/>
          <w:sz w:val="22"/>
        </w:rPr>
        <w:t>式（8）中，失效样本统一进入取值为1的终层，未失效样本按原始风险排序并保持小于1。停车另作任务资格判断。极值风险尺度继续用于风险描述，不能用自然尾部超阈代替ADS真实失效。这样，尾部标定确定测试来源，实际执行确定搜索目标，两者在方法中承担不同作用。</w:t>
      </w:r>
    </w:p>
    <w:p>
      <w:pPr>
        <w:keepNext/>
        <w:spacing w:line="324" w:lineRule="auto" w:after="100"/>
        <w:ind w:firstLine="420"/>
      </w:pPr>
      <w:r>
        <w:rPr>
          <w:rFonts w:ascii="Times New Roman" w:hAnsi="Times New Roman" w:eastAsia="Noto Serif CJK SC"/>
          <w:b w:val="0"/>
          <w:sz w:val="22"/>
        </w:rPr>
        <w:t>对高斯变量组采用先验保持的预条件Crank–Nicolson提议，简称pCN提议：</w:t>
      </w:r>
    </w:p>
    <w:p>
      <w:pPr>
        <w:keepNext/>
        <w:tabs>
          <w:tab w:pos="4620" w:val="center"/>
          <w:tab w:pos="9241" w:val="right"/>
        </w:tabs>
        <w:spacing w:before="120" w:after="120"/>
      </w:pPr>
      <w:r>
        <w:rPr>
          <w:rFonts w:ascii="Times New Roman" w:hAnsi="Times New Roman" w:eastAsia="Noto Serif CJK SC"/>
          <w:b w:val="0"/>
          <w:sz w:val="22"/>
        </w:rPr>
        <w:tab/>
      </w:r>
      <m:oMath>
        <m:sSubSup>
          <m:e>
            <m:r>
              <m:rPr>
                <m:sty m:val="i"/>
              </m:rPr>
              <w:rPr>
                <w:rFonts w:ascii="Cambria Math" w:hAnsi="Cambria Math"/>
                <w:sz w:val="22"/>
              </w:rPr>
              <m:t>z</m:t>
            </m:r>
          </m:e>
          <m:sub>
            <m:r>
              <m:rPr>
                <m:sty m:val="i"/>
              </m:rPr>
              <w:rPr>
                <w:rFonts w:ascii="Cambria Math" w:hAnsi="Cambria Math"/>
                <w:sz w:val="22"/>
              </w:rPr>
              <m:t>g</m:t>
            </m:r>
          </m:sub>
          <m:sup>
            <m:r>
              <m:rPr>
                <m:sty m:val="i"/>
              </m:rPr>
              <w:rPr>
                <w:rFonts w:ascii="Cambria Math" w:hAnsi="Cambria Math"/>
                <w:sz w:val="22"/>
              </w:rPr>
              <m:t>′</m:t>
            </m:r>
          </m:sup>
        </m:sSubSup>
        <m:r>
          <m:rPr>
            <m:sty m:val="p"/>
          </m:rPr>
          <w:rPr>
            <w:rFonts w:ascii="Cambria Math" w:hAnsi="Cambria Math"/>
            <w:sz w:val="22"/>
          </w:rPr>
          <m:t>=</m:t>
        </m:r>
        <m:rad>
          <m:radPr>
            <m:degHide m:val="1"/>
          </m:radPr>
          <m:deg/>
          <m:e>
            <m:r>
              <m:rPr>
                <m:sty m:val="p"/>
              </m:rPr>
              <w:rPr>
                <w:rFonts w:ascii="Cambria Math" w:hAnsi="Cambria Math"/>
                <w:sz w:val="22"/>
              </w:rPr>
              <m:t>1</m:t>
            </m:r>
            <m:r>
              <m:rPr>
                <m:sty m:val="p"/>
              </m:rPr>
              <w:rPr>
                <w:rFonts w:ascii="Cambria Math" w:hAnsi="Cambria Math"/>
                <w:sz w:val="22"/>
              </w:rPr>
              <m:t>−</m:t>
            </m:r>
            <m:sSup>
              <m:e>
                <m:r>
                  <m:rPr>
                    <m:sty m:val="i"/>
                  </m:rPr>
                  <w:rPr>
                    <w:rFonts w:ascii="Cambria Math" w:hAnsi="Cambria Math"/>
                    <w:sz w:val="22"/>
                  </w:rPr>
                  <m:t>ρ</m:t>
                </m:r>
              </m:e>
              <m:sup>
                <m:r>
                  <m:rPr>
                    <m:sty m:val="p"/>
                  </m:rPr>
                  <w:rPr>
                    <w:rFonts w:ascii="Cambria Math" w:hAnsi="Cambria Math"/>
                    <w:sz w:val="22"/>
                  </w:rPr>
                  <m:t>2</m:t>
                </m:r>
              </m:sup>
            </m:sSup>
          </m:e>
        </m:rad>
        <m:r>
          <m:rPr>
            <m:sty m:val="p"/>
          </m:rPr>
          <w:rPr>
            <w:rFonts w:ascii="Cambria Math" w:hAnsi="Cambria Math"/>
            <w:sz w:val="22"/>
          </w:rPr>
          <m:t xml:space="preserve"> </m:t>
        </m:r>
        <m:sSub>
          <m:e>
            <m:r>
              <m:rPr>
                <m:sty m:val="i"/>
              </m:rPr>
              <w:rPr>
                <w:rFonts w:ascii="Cambria Math" w:hAnsi="Cambria Math"/>
                <w:sz w:val="22"/>
              </w:rPr>
              <m:t>z</m:t>
            </m:r>
          </m:e>
          <m:sub>
            <m:r>
              <m:rPr>
                <m:sty m:val="i"/>
              </m:rPr>
              <w:rPr>
                <w:rFonts w:ascii="Cambria Math" w:hAnsi="Cambria Math"/>
                <w:sz w:val="22"/>
              </w:rPr>
              <m:t>g</m:t>
            </m:r>
          </m:sub>
        </m:sSub>
        <m:r>
          <m:rPr>
            <m:sty m:val="p"/>
          </m:rPr>
          <w:rPr>
            <w:rFonts w:ascii="Cambria Math" w:hAnsi="Cambria Math"/>
            <w:sz w:val="22"/>
          </w:rPr>
          <m:t>+</m:t>
        </m:r>
        <m:r>
          <m:rPr>
            <m:sty m:val="i"/>
          </m:rPr>
          <w:rPr>
            <w:rFonts w:ascii="Cambria Math" w:hAnsi="Cambria Math"/>
            <w:sz w:val="22"/>
          </w:rPr>
          <m:t>ρ</m:t>
        </m:r>
        <m:sSub>
          <m:e>
            <m:r>
              <m:rPr>
                <m:sty m:val="i"/>
              </m:rPr>
              <w:rPr>
                <w:rFonts w:ascii="Cambria Math" w:hAnsi="Cambria Math"/>
                <w:sz w:val="22"/>
              </w:rPr>
              <m:t>ε</m:t>
            </m:r>
          </m:e>
          <m:sub>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ε</m:t>
            </m:r>
          </m:e>
          <m:sub>
            <m:r>
              <m:rPr>
                <m:sty m:val="i"/>
              </m:rPr>
              <w:rPr>
                <w:rFonts w:ascii="Cambria Math" w:hAnsi="Cambria Math"/>
                <w:sz w:val="22"/>
              </w:rPr>
              <m:t>g</m:t>
            </m:r>
          </m:sub>
        </m:sSub>
        <m:r>
          <m:rPr>
            <m:sty m:val="p"/>
          </m:rPr>
          <w:rPr>
            <w:rFonts w:ascii="Cambria Math" w:hAnsi="Cambria Math"/>
            <w:sz w:val="22"/>
          </w:rPr>
          <m:t>∼</m:t>
        </m:r>
        <m:r>
          <m:rPr>
            <m:scr m:val="script"/>
            <m:sty m:val="p"/>
          </m:rPr>
          <w:rPr>
            <w:rFonts w:ascii="Cambria Math" w:hAnsi="Cambria Math"/>
            <w:sz w:val="22"/>
          </w:rPr>
          <m:t>N</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sSub>
          <m:e>
            <m:r>
              <m:rPr>
                <m:sty m:val="i"/>
              </m:rPr>
              <w:rPr>
                <w:rFonts w:ascii="Cambria Math" w:hAnsi="Cambria Math"/>
                <w:sz w:val="22"/>
              </w:rPr>
              <m:t>I</m:t>
            </m:r>
          </m:e>
          <m:sub>
            <m:r>
              <m:rPr>
                <m:sty m:val="i"/>
              </m:rPr>
              <w:rPr>
                <w:rFonts w:ascii="Cambria Math" w:hAnsi="Cambria Math"/>
                <w:sz w:val="22"/>
              </w:rPr>
              <m:t>g</m:t>
            </m:r>
          </m:sub>
        </m:sSub>
        <m:r>
          <m:rPr>
            <m:sty m:val="p"/>
          </m:rPr>
          <w:rPr>
            <w:rFonts w:ascii="Cambria Math" w:hAnsi="Cambria Math"/>
            <w:sz w:val="22"/>
          </w:rPr>
          <m:t>)</m:t>
        </m:r>
      </m:oMath>
      <w:r>
        <w:rPr>
          <w:rFonts w:ascii="Times New Roman" w:hAnsi="Times New Roman" w:eastAsia="Noto Serif CJK SC"/>
          <w:b w:val="0"/>
          <w:sz w:val="20"/>
        </w:rPr>
        <w:tab/>
        <w:t>（9）</w:t>
      </w:r>
    </w:p>
    <w:p>
      <w:pPr>
        <w:spacing w:line="324" w:lineRule="auto" w:after="100"/>
        <w:ind w:firstLine="420"/>
      </w:pPr>
      <w:r>
        <w:rPr>
          <w:rFonts w:ascii="Times New Roman" w:hAnsi="Times New Roman" w:eastAsia="Noto Serif CJK SC"/>
          <w:b w:val="0"/>
          <w:sz w:val="22"/>
        </w:rPr>
        <w:t>式（9）中，</w:t>
      </w:r>
      <m:oMath>
        <m:r>
          <m:rPr>
            <m:sty m:val="i"/>
          </m:rPr>
          <w:rPr>
            <w:rFonts w:ascii="Cambria Math" w:hAnsi="Cambria Math"/>
            <w:sz w:val="22"/>
          </w:rPr>
          <m:t>g</m:t>
        </m:r>
      </m:oMath>
      <w:r>
        <w:rPr>
          <w:rFonts w:ascii="Times New Roman" w:hAnsi="Times New Roman" w:eastAsia="Noto Serif CJK SC"/>
          <w:b w:val="0"/>
          <w:sz w:val="22"/>
        </w:rPr>
        <w:t>为变量组，</w:t>
      </w:r>
      <m:oMath>
        <m:sSub>
          <m:e>
            <m:r>
              <m:rPr>
                <m:sty m:val="i"/>
              </m:rPr>
              <w:rPr>
                <w:rFonts w:ascii="Cambria Math" w:hAnsi="Cambria Math"/>
                <w:sz w:val="22"/>
              </w:rPr>
              <m:t>z</m:t>
            </m:r>
          </m:e>
          <m:sub>
            <m:r>
              <m:rPr>
                <m:sty m:val="i"/>
              </m:rPr>
              <w:rPr>
                <w:rFonts w:ascii="Cambria Math" w:hAnsi="Cambria Math"/>
                <w:sz w:val="22"/>
              </w:rPr>
              <m:t>g</m:t>
            </m:r>
          </m:sub>
        </m:sSub>
      </m:oMath>
      <w:r>
        <w:rPr>
          <w:rFonts w:ascii="Times New Roman" w:hAnsi="Times New Roman" w:eastAsia="Noto Serif CJK SC"/>
          <w:b w:val="0"/>
          <w:sz w:val="22"/>
        </w:rPr>
        <w:t>及</w:t>
      </w:r>
      <m:oMath>
        <m:sSubSup>
          <m:e>
            <m:r>
              <m:rPr>
                <m:sty m:val="i"/>
              </m:rPr>
              <w:rPr>
                <w:rFonts w:ascii="Cambria Math" w:hAnsi="Cambria Math"/>
                <w:sz w:val="22"/>
              </w:rPr>
              <m:t>z</m:t>
            </m:r>
          </m:e>
          <m:sub>
            <m:r>
              <m:rPr>
                <m:sty m:val="i"/>
              </m:rPr>
              <w:rPr>
                <w:rFonts w:ascii="Cambria Math" w:hAnsi="Cambria Math"/>
                <w:sz w:val="22"/>
              </w:rPr>
              <m:t>g</m:t>
            </m:r>
          </m:sub>
          <m:sup>
            <m:r>
              <m:rPr>
                <m:sty m:val="i"/>
              </m:rPr>
              <w:rPr>
                <w:rFonts w:ascii="Cambria Math" w:hAnsi="Cambria Math"/>
                <w:sz w:val="22"/>
              </w:rPr>
              <m:t>′</m:t>
            </m:r>
          </m:sup>
        </m:sSubSup>
      </m:oMath>
      <w:r>
        <w:rPr>
          <w:rFonts w:ascii="Times New Roman" w:hAnsi="Times New Roman" w:eastAsia="Noto Serif CJK SC"/>
          <w:b w:val="0"/>
          <w:sz w:val="22"/>
        </w:rPr>
        <w:t>为当前与提议值，</w:t>
      </w:r>
      <m:oMath>
        <m:r>
          <m:rPr>
            <m:sty m:val="i"/>
          </m:rPr>
          <w:rPr>
            <w:rFonts w:ascii="Cambria Math" w:hAnsi="Cambria Math"/>
            <w:sz w:val="22"/>
          </w:rPr>
          <m:t>ρ</m:t>
        </m:r>
      </m:oMath>
      <w:r>
        <w:rPr>
          <w:rFonts w:ascii="Times New Roman" w:hAnsi="Times New Roman" w:eastAsia="Noto Serif CJK SC"/>
          <w:b w:val="0"/>
          <w:sz w:val="22"/>
        </w:rPr>
        <w:t>为大于0且不大于1的提议尺度，</w:t>
      </w:r>
      <m:oMath>
        <m:sSub>
          <m:e>
            <m:r>
              <m:rPr>
                <m:sty m:val="i"/>
              </m:rPr>
              <w:rPr>
                <w:rFonts w:ascii="Cambria Math" w:hAnsi="Cambria Math"/>
                <w:sz w:val="22"/>
              </w:rPr>
              <m:t>ε</m:t>
            </m:r>
          </m:e>
          <m:sub>
            <m:r>
              <m:rPr>
                <m:sty m:val="i"/>
              </m:rPr>
              <w:rPr>
                <w:rFonts w:ascii="Cambria Math" w:hAnsi="Cambria Math"/>
                <w:sz w:val="22"/>
              </w:rPr>
              <m:t>g</m:t>
            </m:r>
          </m:sub>
        </m:sSub>
      </m:oMath>
      <w:r>
        <w:rPr>
          <w:rFonts w:ascii="Times New Roman" w:hAnsi="Times New Roman" w:eastAsia="Noto Serif CJK SC"/>
          <w:b w:val="0"/>
          <w:sz w:val="22"/>
        </w:rPr>
        <w:t>为同维独立标准高斯创新，</w:t>
      </w:r>
      <m:oMath>
        <m:sSub>
          <m:e>
            <m:r>
              <m:rPr>
                <m:sty m:val="i"/>
              </m:rPr>
              <w:rPr>
                <w:rFonts w:ascii="Cambria Math" w:hAnsi="Cambria Math"/>
                <w:sz w:val="22"/>
              </w:rPr>
              <m:t>I</m:t>
            </m:r>
          </m:e>
          <m:sub>
            <m:r>
              <m:rPr>
                <m:sty m:val="i"/>
              </m:rPr>
              <w:rPr>
                <w:rFonts w:ascii="Cambria Math" w:hAnsi="Cambria Math"/>
                <w:sz w:val="22"/>
              </w:rPr>
              <m:t>g</m:t>
            </m:r>
          </m:sub>
        </m:sSub>
      </m:oMath>
      <w:r>
        <w:rPr>
          <w:rFonts w:ascii="Times New Roman" w:hAnsi="Times New Roman" w:eastAsia="Noto Serif CJK SC"/>
          <w:b w:val="0"/>
          <w:sz w:val="22"/>
        </w:rPr>
        <w:t>为相应单位协方差矩阵。结构均匀变量采用独立均匀刷新。改变Flow或扩散输入后，经原生成器重新形成完整场景，不能直接在物理轨迹间插值替代生成。</w:t>
      </w:r>
    </w:p>
    <w:p>
      <w:pPr>
        <w:spacing w:line="324" w:lineRule="auto" w:after="100"/>
        <w:ind w:firstLine="420"/>
      </w:pPr>
      <w:r>
        <w:rPr>
          <w:rFonts w:ascii="Times New Roman" w:hAnsi="Times New Roman" w:eastAsia="Noto Serif CJK SC"/>
          <w:b w:val="0"/>
          <w:sz w:val="22"/>
        </w:rPr>
        <w:t>各分支分别按自身分位数提高条件阈值，并维持独立条件链。提议满足本分支当前阈值及划分条件时接受，否则保留原链状态。为使变量选择与生成结构对应，保留正比例的联合提议，其余提议选择一个变量组；由上一层已执行父子样本的归一化风险变化更新组敏感度，以组敏感度与正基础权重之和归一化得到组选择概率。相关车辆和响应时段取自上一层实际关键车辆及关键时刻，并在新层开始前与组概率共同固定。联合提议不混入单组敏感度统计。</w:t>
      </w:r>
    </w:p>
    <w:p>
      <w:pPr>
        <w:keepNext/>
        <w:spacing w:line="324" w:lineRule="auto" w:after="100"/>
        <w:ind w:firstLine="420"/>
      </w:pPr>
      <w:r>
        <w:rPr>
          <w:rFonts w:ascii="Times New Roman" w:hAnsi="Times New Roman" w:eastAsia="Noto Serif CJK SC"/>
          <w:b w:val="0"/>
          <w:sz w:val="22"/>
        </w:rPr>
        <w:t>一种敏感度更新采用：</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ν</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r>
          <m:rPr>
            <m:sty m:val="i"/>
          </m:rPr>
          <w:rPr>
            <w:rFonts w:ascii="Cambria Math" w:hAnsi="Cambria Math"/>
            <w:sz w:val="22"/>
          </w:rPr>
          <m:t>ν</m:t>
        </m:r>
        <m:r>
          <m:rPr>
            <m:sty m:val="p"/>
          </m:rPr>
          <w:rPr>
            <w:rFonts w:ascii="Cambria Math" w:hAnsi="Cambria Math"/>
            <w:sz w:val="22"/>
          </w:rPr>
          <m:t xml:space="preserve"> </m:t>
        </m:r>
        <m:r>
          <m:rPr>
            <m:sty m:val="p"/>
          </m:rPr>
          <w:rPr>
            <w:rFonts w:ascii="Cambria Math" w:hAnsi="Cambria Math"/>
            <w:sz w:val="22"/>
          </w:rPr>
          <m:t>mean</m:t>
        </m:r>
        <m:f>
          <m:num>
            <m:d>
              <m:dPr>
                <m:begChr m:val="|"/>
                <m:endChr m:val="|"/>
              </m:dPr>
              <m:e>
                <m:r>
                  <m:rPr>
                    <m:sty m:val="i"/>
                  </m:rPr>
                  <w:rPr>
                    <w:rFonts w:ascii="Cambria Math" w:hAnsi="Cambria Math"/>
                    <w:sz w:val="22"/>
                  </w:rPr>
                  <m:t>R</m:t>
                </m:r>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π</m:t>
                    </m:r>
                  </m:sub>
                  <m:sup>
                    <m:r>
                      <m:rPr>
                        <m:sty m:val="i"/>
                      </m:rPr>
                      <w:rPr>
                        <w:rFonts w:ascii="Cambria Math" w:hAnsi="Cambria Math"/>
                        <w:sz w:val="22"/>
                      </w:rPr>
                      <m:t>′</m:t>
                    </m:r>
                  </m:sup>
                </m:sSubSup>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e>
            </m:d>
          </m:num>
          <m:den>
            <m:r>
              <m:rPr>
                <m:sty m:val="p"/>
              </m:rPr>
              <w:rPr>
                <w:rFonts w:ascii="Cambria Math" w:hAnsi="Cambria Math"/>
                <w:sz w:val="22"/>
              </w:rPr>
              <m:t>1</m:t>
            </m:r>
            <m:r>
              <m:rPr>
                <m:sty m:val="p"/>
              </m:rPr>
              <w:rPr>
                <w:rFonts w:ascii="Cambria Math" w:hAnsi="Cambria Math"/>
                <w:sz w:val="22"/>
              </w:rPr>
              <m:t>+</m:t>
            </m:r>
            <m:d>
              <m:dPr>
                <m:begChr m:val="|"/>
                <m:endChr m:val="|"/>
              </m:dPr>
              <m:e>
                <m:r>
                  <m:rPr>
                    <m:sty m:val="i"/>
                  </m:rPr>
                  <w:rPr>
                    <w:rFonts w:ascii="Cambria Math" w:hAnsi="Cambria Math"/>
                    <w:sz w:val="22"/>
                  </w:rPr>
                  <m:t>R</m:t>
                </m:r>
                <m:r>
                  <m:rPr>
                    <m:sty m:val="p"/>
                  </m:rPr>
                  <w:rPr>
                    <w:rFonts w:ascii="Cambria Math" w:hAnsi="Cambria Math"/>
                    <w:sz w:val="22"/>
                  </w:rPr>
                  <m:t>(</m:t>
                </m:r>
                <m:sSub>
                  <m:e>
                    <m:r>
                      <m:rPr>
                        <m:sty m:val="i"/>
                      </m:rPr>
                      <w:rPr>
                        <w:rFonts w:ascii="Cambria Math" w:hAnsi="Cambria Math"/>
                        <w:sz w:val="22"/>
                      </w:rPr>
                      <m:t>τ</m:t>
                    </m:r>
                  </m:e>
                  <m:sub>
                    <m:r>
                      <m:rPr>
                        <m:sty m:val="i"/>
                      </m:rPr>
                      <w:rPr>
                        <w:rFonts w:ascii="Cambria Math" w:hAnsi="Cambria Math"/>
                        <w:sz w:val="22"/>
                      </w:rPr>
                      <m:t>π</m:t>
                    </m:r>
                  </m:sub>
                </m:sSub>
                <m:r>
                  <m:rPr>
                    <m:sty m:val="p"/>
                  </m:rPr>
                  <w:rPr>
                    <w:rFonts w:ascii="Cambria Math" w:hAnsi="Cambria Math"/>
                    <w:sz w:val="22"/>
                  </w:rPr>
                  <m:t>)</m:t>
                </m:r>
              </m:e>
            </m:d>
          </m:den>
        </m:f>
      </m:oMath>
      <w:r>
        <w:rPr>
          <w:rFonts w:ascii="Times New Roman" w:hAnsi="Times New Roman" w:eastAsia="Noto Serif CJK SC"/>
          <w:b w:val="0"/>
          <w:sz w:val="20"/>
        </w:rPr>
        <w:tab/>
        <w:t>（10）</w:t>
      </w:r>
    </w:p>
    <w:p>
      <w:pPr>
        <w:spacing w:line="324" w:lineRule="auto" w:after="100"/>
        <w:ind w:firstLine="420"/>
      </w:pPr>
      <w:r>
        <w:rPr>
          <w:rFonts w:ascii="Times New Roman" w:hAnsi="Times New Roman" w:eastAsia="Noto Serif CJK SC"/>
          <w:b w:val="0"/>
          <w:sz w:val="22"/>
        </w:rPr>
        <w:t>式（10）中，</w:t>
      </w:r>
      <m:oMath>
        <m:r>
          <m:rPr>
            <m:sty m:val="i"/>
          </m:rPr>
          <w:rPr>
            <w:rFonts w:ascii="Cambria Math" w:hAnsi="Cambria Math"/>
            <w:sz w:val="22"/>
          </w:rPr>
          <m:t>b</m:t>
        </m:r>
      </m:oMath>
      <w:r>
        <w:rPr>
          <w:rFonts w:ascii="Times New Roman" w:hAnsi="Times New Roman" w:eastAsia="Noto Serif CJK SC"/>
          <w:b w:val="0"/>
          <w:sz w:val="22"/>
        </w:rPr>
        <w:t>为分支，</w:t>
      </w:r>
      <m:oMath>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oMath>
      <w:r>
        <w:rPr>
          <w:rFonts w:ascii="Times New Roman" w:hAnsi="Times New Roman" w:eastAsia="Noto Serif CJK SC"/>
          <w:b w:val="0"/>
          <w:sz w:val="22"/>
        </w:rPr>
        <w:t>为该分支对第</w:t>
      </w:r>
      <m:oMath>
        <m:r>
          <m:rPr>
            <m:sty m:val="i"/>
          </m:rPr>
          <w:rPr>
            <w:rFonts w:ascii="Cambria Math" w:hAnsi="Cambria Math"/>
            <w:sz w:val="22"/>
          </w:rPr>
          <m:t>g</m:t>
        </m:r>
      </m:oMath>
      <w:r>
        <w:rPr>
          <w:rFonts w:ascii="Times New Roman" w:hAnsi="Times New Roman" w:eastAsia="Noto Serif CJK SC"/>
          <w:b w:val="0"/>
          <w:sz w:val="22"/>
        </w:rPr>
        <w:t>组的敏感度，</w:t>
      </w:r>
      <m:oMath>
        <m:r>
          <m:rPr>
            <m:sty m:val="i"/>
          </m:rPr>
          <w:rPr>
            <w:rFonts w:ascii="Cambria Math" w:hAnsi="Cambria Math"/>
            <w:sz w:val="22"/>
          </w:rPr>
          <m:t>ν</m:t>
        </m:r>
      </m:oMath>
      <w:r>
        <w:rPr>
          <w:rFonts w:ascii="Times New Roman" w:hAnsi="Times New Roman" w:eastAsia="Noto Serif CJK SC"/>
          <w:b w:val="0"/>
          <w:sz w:val="22"/>
        </w:rPr>
        <w:t>为大于0且不大于1的平滑系数，均值取已实际执行的单组父子样本；比例可加预定上界。敏感度表征执行风险对该类生成变量的变化，不作为某组变量的因果贡献估计。</w:t>
      </w:r>
    </w:p>
    <w:p>
      <w:pPr>
        <w:keepNext/>
        <w:spacing w:line="324" w:lineRule="auto" w:after="100"/>
        <w:ind w:firstLine="420"/>
      </w:pPr>
      <w:r>
        <w:rPr>
          <w:rFonts w:ascii="Times New Roman" w:hAnsi="Times New Roman" w:eastAsia="Noto Serif CJK SC"/>
          <w:b w:val="0"/>
          <w:sz w:val="22"/>
        </w:rPr>
        <w:t>将当前分支可用的变量组集合记为</w:t>
      </w:r>
      <m:oMath>
        <m:sSub>
          <m:e>
            <m:r>
              <m:rPr>
                <m:scr m:val="script"/>
                <m:sty m:val="p"/>
              </m:rPr>
              <w:rPr>
                <w:rFonts w:ascii="Cambria Math" w:hAnsi="Cambria Math"/>
                <w:sz w:val="22"/>
              </w:rPr>
              <m:t>G</m:t>
            </m:r>
          </m:e>
          <m:sub>
            <m:r>
              <m:rPr>
                <m:sty m:val="i"/>
              </m:rPr>
              <w:rPr>
                <w:rFonts w:ascii="Cambria Math" w:hAnsi="Cambria Math"/>
                <w:sz w:val="22"/>
              </w:rPr>
              <m:t>b</m:t>
            </m:r>
          </m:sub>
        </m:sSub>
      </m:oMath>
      <w:r>
        <w:rPr>
          <w:rFonts w:ascii="Times New Roman" w:hAnsi="Times New Roman" w:eastAsia="Noto Serif CJK SC"/>
          <w:b w:val="0"/>
          <w:sz w:val="22"/>
        </w:rPr>
        <w:t>，单组提议的选择概率可按下式确定：</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p</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r>
          <m:rPr>
            <m:sty m:val="p"/>
          </m:rPr>
          <w:rPr>
            <w:rFonts w:ascii="Cambria Math" w:hAnsi="Cambria Math"/>
            <w:sz w:val="22"/>
          </w:rPr>
          <m:t>=</m:t>
        </m:r>
        <m:f>
          <m:num>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g</m:t>
                </m:r>
              </m:sub>
            </m:sSub>
          </m:num>
          <m:den>
            <m:sSub>
              <m:e>
                <m:r>
                  <m:rPr>
                    <m:sty m:val="p"/>
                  </m:rPr>
                  <w:rPr>
                    <w:rFonts w:ascii="Cambria Math" w:hAnsi="Cambria Math"/>
                    <w:sz w:val="22"/>
                  </w:rPr>
                  <m:t>∑</m:t>
                </m:r>
              </m:e>
              <m:sub>
                <m:r>
                  <m:rPr>
                    <m:sty m:val="i"/>
                  </m:rPr>
                  <w:rPr>
                    <w:rFonts w:ascii="Cambria Math" w:hAnsi="Cambria Math"/>
                    <w:sz w:val="22"/>
                  </w:rPr>
                  <m:t>h</m:t>
                </m:r>
                <m:r>
                  <m:rPr>
                    <m:sty m:val="p"/>
                  </m:rPr>
                  <w:rPr>
                    <w:rFonts w:ascii="Cambria Math" w:hAnsi="Cambria Math"/>
                    <w:sz w:val="22"/>
                  </w:rPr>
                  <m:t>∈</m:t>
                </m:r>
                <m:sSub>
                  <m:e>
                    <m:r>
                      <m:rPr>
                        <m:scr m:val="script"/>
                        <m:sty m:val="p"/>
                      </m:rPr>
                      <w:rPr>
                        <w:rFonts w:ascii="Cambria Math" w:hAnsi="Cambria Math"/>
                        <w:sz w:val="22"/>
                      </w:rPr>
                      <m:t>G</m:t>
                    </m:r>
                  </m:e>
                  <m:sub>
                    <m:r>
                      <m:rPr>
                        <m:sty m:val="i"/>
                      </m:rPr>
                      <w:rPr>
                        <w:rFonts w:ascii="Cambria Math" w:hAnsi="Cambria Math"/>
                        <w:sz w:val="22"/>
                      </w:rPr>
                      <m:t>b</m:t>
                    </m:r>
                  </m:sub>
                </m:sSub>
              </m:sub>
            </m:sSub>
            <m:r>
              <m:rPr>
                <m:sty m:val="p"/>
              </m:rPr>
              <w:rPr>
                <w:rFonts w:ascii="Cambria Math" w:hAnsi="Cambria Math"/>
                <w:sz w:val="22"/>
              </w:rPr>
              <m:t>(</m:t>
            </m:r>
            <m:r>
              <m:rPr>
                <m:sty m:val="i"/>
              </m:rPr>
              <w:rPr>
                <w:rFonts w:ascii="Cambria Math" w:hAnsi="Cambria Math"/>
                <w:sz w:val="22"/>
              </w:rPr>
              <m:t>δ</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b</m:t>
                </m:r>
                <m:r>
                  <m:rPr>
                    <m:sty m:val="p"/>
                  </m:rPr>
                  <w:rPr>
                    <w:rFonts w:ascii="Cambria Math" w:hAnsi="Cambria Math"/>
                    <w:sz w:val="22"/>
                  </w:rPr>
                  <m:t>,</m:t>
                </m:r>
                <m:r>
                  <m:rPr>
                    <m:sty m:val="i"/>
                  </m:rPr>
                  <w:rPr>
                    <w:rFonts w:ascii="Cambria Math" w:hAnsi="Cambria Math"/>
                    <w:sz w:val="22"/>
                  </w:rPr>
                  <m:t>h</m:t>
                </m:r>
              </m:sub>
            </m:sSub>
            <m:r>
              <m:rPr>
                <m:sty m:val="p"/>
              </m:rPr>
              <w:rPr>
                <w:rFonts w:ascii="Cambria Math" w:hAnsi="Cambria Math"/>
                <w:sz w:val="22"/>
              </w:rPr>
              <m:t>)</m:t>
            </m:r>
          </m:den>
        </m:f>
        <m:r>
          <m:rPr>
            <m:sty m:val="p"/>
          </m:rPr>
          <w:rPr>
            <w:rFonts w:ascii="Cambria Math" w:hAnsi="Cambria Math"/>
            <w:sz w:val="22"/>
          </w:rPr>
          <m:t>,</m:t>
        </m:r>
        <m:r>
          <m:rPr>
            <m:sty m:val="p"/>
          </m:rPr>
          <w:rPr>
            <w:rFonts w:ascii="Cambria Math" w:hAnsi="Cambria Math"/>
            <w:sz w:val="22"/>
          </w:rPr>
          <m:t xml:space="preserve"> </m:t>
        </m:r>
        <m:r>
          <m:rPr>
            <m:sty m:val="i"/>
          </m:rPr>
          <w:rPr>
            <w:rFonts w:ascii="Cambria Math" w:hAnsi="Cambria Math"/>
            <w:sz w:val="22"/>
          </w:rPr>
          <m:t>g</m:t>
        </m:r>
        <m:r>
          <m:rPr>
            <m:sty m:val="p"/>
          </m:rPr>
          <w:rPr>
            <w:rFonts w:ascii="Cambria Math" w:hAnsi="Cambria Math"/>
            <w:sz w:val="22"/>
          </w:rPr>
          <m:t>∈</m:t>
        </m:r>
        <m:sSub>
          <m:e>
            <m:r>
              <m:rPr>
                <m:scr m:val="script"/>
                <m:sty m:val="p"/>
              </m:rPr>
              <w:rPr>
                <w:rFonts w:ascii="Cambria Math" w:hAnsi="Cambria Math"/>
                <w:sz w:val="22"/>
              </w:rPr>
              <m:t>G</m:t>
            </m:r>
          </m:e>
          <m:sub>
            <m:r>
              <m:rPr>
                <m:sty m:val="i"/>
              </m:rPr>
              <w:rPr>
                <w:rFonts w:ascii="Cambria Math" w:hAnsi="Cambria Math"/>
                <w:sz w:val="22"/>
              </w:rPr>
              <m:t>b</m:t>
            </m:r>
          </m:sub>
        </m:sSub>
      </m:oMath>
      <w:r>
        <w:rPr>
          <w:rFonts w:ascii="Times New Roman" w:hAnsi="Times New Roman" w:eastAsia="Noto Serif CJK SC"/>
          <w:b w:val="0"/>
          <w:sz w:val="20"/>
        </w:rPr>
        <w:tab/>
        <w:t>（11）</w:t>
      </w:r>
    </w:p>
    <w:p>
      <w:pPr>
        <w:spacing w:line="324" w:lineRule="auto" w:after="100"/>
        <w:ind w:firstLine="420"/>
      </w:pPr>
      <w:r>
        <w:rPr>
          <w:rFonts w:ascii="Times New Roman" w:hAnsi="Times New Roman" w:eastAsia="Noto Serif CJK SC"/>
          <w:b w:val="0"/>
          <w:sz w:val="22"/>
        </w:rPr>
        <w:t>式（11）中，</w:t>
      </w:r>
      <m:oMath>
        <m:r>
          <m:rPr>
            <m:sty m:val="i"/>
          </m:rPr>
          <w:rPr>
            <w:rFonts w:ascii="Cambria Math" w:hAnsi="Cambria Math"/>
            <w:sz w:val="22"/>
          </w:rPr>
          <m:t>δ</m:t>
        </m:r>
      </m:oMath>
      <w:r>
        <w:rPr>
          <w:rFonts w:ascii="Times New Roman" w:hAnsi="Times New Roman" w:eastAsia="Noto Serif CJK SC"/>
          <w:b w:val="0"/>
          <w:sz w:val="22"/>
        </w:rPr>
        <w:t>为正基础权重，</w:t>
      </w:r>
      <m:oMath>
        <m:r>
          <m:rPr>
            <m:sty m:val="i"/>
          </m:rPr>
          <w:rPr>
            <w:rFonts w:ascii="Cambria Math" w:hAnsi="Cambria Math"/>
            <w:sz w:val="22"/>
          </w:rPr>
          <m:t>h</m:t>
        </m:r>
      </m:oMath>
      <w:r>
        <w:rPr>
          <w:rFonts w:ascii="Times New Roman" w:hAnsi="Times New Roman" w:eastAsia="Noto Serif CJK SC"/>
          <w:b w:val="0"/>
          <w:sz w:val="22"/>
        </w:rPr>
        <w:t>为求和用的变量组索引。没有有效背景车辆或没有可用响应时段时，按当前层既定规则排除相应空组；其余组仍保留正选择概率。一种配置取基础权重0.05，并以0.2的比例使用联合提议。单组比例、车辆掩码及响应时段均在本层执行前固定，层内不随某个候选的即时结果改变。</w:t>
      </w:r>
    </w:p>
    <w:p>
      <w:pPr>
        <w:keepNext/>
        <w:spacing w:line="324" w:lineRule="auto" w:after="100"/>
        <w:ind w:firstLine="420"/>
      </w:pPr>
      <w:r>
        <w:rPr>
          <w:rFonts w:ascii="Times New Roman" w:hAnsi="Times New Roman" w:eastAsia="Noto Serif CJK SC"/>
          <w:b w:val="0"/>
          <w:sz w:val="22"/>
        </w:rPr>
        <w:t>将分支对应的输入区域记为</w:t>
      </w:r>
      <m:oMath>
        <m:sSub>
          <m:e>
            <m:r>
              <m:rPr>
                <m:scr m:val="script"/>
                <m:sty m:val="p"/>
              </m:rPr>
              <w:rPr>
                <w:rFonts w:ascii="Cambria Math" w:hAnsi="Cambria Math"/>
                <w:sz w:val="22"/>
              </w:rPr>
              <m:t>B</m:t>
            </m:r>
          </m:e>
          <m:sub>
            <m:r>
              <m:rPr>
                <m:sty m:val="i"/>
              </m:rPr>
              <w:rPr>
                <w:rFonts w:ascii="Cambria Math" w:hAnsi="Cambria Math"/>
                <w:sz w:val="22"/>
              </w:rPr>
              <m:t>b</m:t>
            </m:r>
          </m:sub>
        </m:sSub>
      </m:oMath>
      <w:r>
        <w:rPr>
          <w:rFonts w:ascii="Times New Roman" w:hAnsi="Times New Roman" w:eastAsia="Noto Serif CJK SC"/>
          <w:b w:val="0"/>
          <w:sz w:val="22"/>
        </w:rPr>
        <w:t>，当前层阈值记为</w:t>
      </w:r>
      <m:oMath>
        <m:sSub>
          <m:e>
            <m:r>
              <m:rPr>
                <m:sty m:val="i"/>
              </m:rPr>
              <w:rPr>
                <w:rFonts w:ascii="Cambria Math" w:hAnsi="Cambria Math"/>
                <w:sz w:val="22"/>
              </w:rPr>
              <m:t>c</m:t>
            </m:r>
          </m:e>
          <m:sub>
            <m:r>
              <m:rPr>
                <m:sty m:val="i"/>
              </m:rPr>
              <w:rPr>
                <w:rFonts w:ascii="Cambria Math" w:hAnsi="Cambria Math"/>
                <w:sz w:val="22"/>
              </w:rPr>
              <m:t>b</m:t>
            </m:r>
          </m:sub>
        </m:sSub>
      </m:oMath>
      <w:r>
        <w:rPr>
          <w:rFonts w:ascii="Times New Roman" w:hAnsi="Times New Roman" w:eastAsia="Noto Serif CJK SC"/>
          <w:b w:val="0"/>
          <w:sz w:val="22"/>
        </w:rPr>
        <w:t>。利用上述先验保持提议时，接受规则为：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a</m:t>
            </m:r>
          </m:e>
          <m:sub>
            <m:r>
              <m:rPr>
                <m:sty m:val="i"/>
              </m:rPr>
              <w:rPr>
                <w:rFonts w:ascii="Cambria Math" w:hAnsi="Cambria Math"/>
                <w:sz w:val="22"/>
              </w:rPr>
              <m:t>b</m:t>
            </m:r>
          </m:sub>
        </m:sSub>
        <m:r>
          <m:rPr>
            <m:sty m:val="p"/>
          </m:rPr>
          <w:rPr>
            <w:rFonts w:ascii="Cambria Math" w:hAnsi="Cambria Math"/>
            <w:sz w:val="22"/>
          </w:rPr>
          <m:t>(</m:t>
        </m:r>
        <m:r>
          <m:rPr>
            <m:sty m:val="i"/>
          </m:rPr>
          <w:rPr>
            <w:rFonts w:ascii="Cambria Math" w:hAnsi="Cambria Math"/>
            <w:sz w:val="22"/>
          </w:rPr>
          <m:t>ω</m:t>
        </m:r>
        <m:r>
          <m:rPr>
            <m:sty m:val="p"/>
          </m:rPr>
          <w:rPr>
            <w:rFonts w:ascii="Cambria Math" w:hAnsi="Cambria Math"/>
            <w:sz w:val="22"/>
          </w:rPr>
          <m:t>,</m:t>
        </m:r>
        <m:sSup>
          <m:e>
            <m:r>
              <m:rPr>
                <m:sty m:val="i"/>
              </m:rPr>
              <w:rPr>
                <w:rFonts w:ascii="Cambria Math" w:hAnsi="Cambria Math"/>
                <w:sz w:val="22"/>
              </w:rPr>
              <m:t>ω</m:t>
            </m:r>
          </m:e>
          <m:sup>
            <m:r>
              <m:rPr>
                <m:sty m:val="i"/>
              </m:rPr>
              <w:rPr>
                <w:rFonts w:ascii="Cambria Math" w:hAnsi="Cambria Math"/>
                <w:sz w:val="22"/>
              </w:rPr>
              <m:t>′</m:t>
            </m:r>
          </m:sup>
        </m:sSup>
        <m:r>
          <m:rPr>
            <m:sty m:val="p"/>
          </m:rPr>
          <w:rPr>
            <w:rFonts w:ascii="Cambria Math" w:hAnsi="Cambria Math"/>
            <w:sz w:val="22"/>
          </w:rPr>
          <m:t>)</m:t>
        </m:r>
        <m:r>
          <m:rPr>
            <m:sty m:val="p"/>
          </m:rPr>
          <w:rPr>
            <w:rFonts w:ascii="Cambria Math" w:hAnsi="Cambria Math"/>
            <w:sz w:val="22"/>
          </w:rPr>
          <m:t>=</m:t>
        </m:r>
        <m:r>
          <m:rPr>
            <m:sty m:val="b"/>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H</m:t>
            </m:r>
          </m:e>
          <m:sub>
            <m:r>
              <m:rPr>
                <m:sty m:val="i"/>
              </m:rPr>
              <w:rPr>
                <w:rFonts w:ascii="Cambria Math" w:hAnsi="Cambria Math"/>
                <w:sz w:val="22"/>
              </w:rPr>
              <m:t>π</m:t>
            </m:r>
          </m:sub>
        </m:sSub>
        <m:r>
          <m:rPr>
            <m:sty m:val="p"/>
          </m:rPr>
          <w:rPr>
            <w:rFonts w:ascii="Cambria Math" w:hAnsi="Cambria Math"/>
            <w:sz w:val="22"/>
          </w:rPr>
          <m:t>(</m:t>
        </m:r>
        <m:sSup>
          <m:e>
            <m:r>
              <m:rPr>
                <m:sty m:val="i"/>
              </m:rPr>
              <w:rPr>
                <w:rFonts w:ascii="Cambria Math" w:hAnsi="Cambria Math"/>
                <w:sz w:val="22"/>
              </w:rPr>
              <m:t>ω</m:t>
            </m:r>
          </m:e>
          <m:sup>
            <m:r>
              <m:rPr>
                <m:sty m:val="i"/>
              </m:rPr>
              <w:rPr>
                <w:rFonts w:ascii="Cambria Math" w:hAnsi="Cambria Math"/>
                <w:sz w:val="22"/>
              </w:rPr>
              <m:t>′</m:t>
            </m:r>
          </m:sup>
        </m:sSup>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c</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 xml:space="preserve"> </m:t>
        </m:r>
        <m:r>
          <m:rPr>
            <m:sty m:val="b"/>
          </m:rPr>
          <w:rPr>
            <w:rFonts w:ascii="Cambria Math" w:hAnsi="Cambria Math"/>
            <w:sz w:val="22"/>
          </w:rPr>
          <m:t>1</m:t>
        </m:r>
        <m:r>
          <m:rPr>
            <m:sty m:val="p"/>
          </m:rPr>
          <w:rPr>
            <w:rFonts w:ascii="Cambria Math" w:hAnsi="Cambria Math"/>
            <w:sz w:val="22"/>
          </w:rPr>
          <m:t>{</m:t>
        </m:r>
        <m:sSup>
          <m:e>
            <m:r>
              <m:rPr>
                <m:sty m:val="i"/>
              </m:rPr>
              <w:rPr>
                <w:rFonts w:ascii="Cambria Math" w:hAnsi="Cambria Math"/>
                <w:sz w:val="22"/>
              </w:rPr>
              <m:t>ω</m:t>
            </m:r>
          </m:e>
          <m:sup>
            <m:r>
              <m:rPr>
                <m:sty m:val="i"/>
              </m:rPr>
              <w:rPr>
                <w:rFonts w:ascii="Cambria Math" w:hAnsi="Cambria Math"/>
                <w:sz w:val="22"/>
              </w:rPr>
              <m:t>′</m:t>
            </m:r>
          </m:sup>
        </m:sSup>
        <m:r>
          <m:rPr>
            <m:sty m:val="p"/>
          </m:rPr>
          <w:rPr>
            <w:rFonts w:ascii="Cambria Math" w:hAnsi="Cambria Math"/>
            <w:sz w:val="22"/>
          </w:rPr>
          <m:t>∈</m:t>
        </m:r>
        <m:sSub>
          <m:e>
            <m:r>
              <m:rPr>
                <m:scr m:val="script"/>
                <m:sty m:val="p"/>
              </m:rPr>
              <w:rPr>
                <w:rFonts w:ascii="Cambria Math" w:hAnsi="Cambria Math"/>
                <w:sz w:val="22"/>
              </w:rPr>
              <m:t>B</m:t>
            </m:r>
          </m:e>
          <m:sub>
            <m:r>
              <m:rPr>
                <m:sty m:val="i"/>
              </m:rPr>
              <w:rPr>
                <w:rFonts w:ascii="Cambria Math" w:hAnsi="Cambria Math"/>
                <w:sz w:val="22"/>
              </w:rPr>
              <m:t>b</m:t>
            </m:r>
          </m:sub>
        </m:sSub>
        <m:r>
          <m:rPr>
            <m:sty m:val="p"/>
          </m:rPr>
          <w:rPr>
            <w:rFonts w:ascii="Cambria Math" w:hAnsi="Cambria Math"/>
            <w:sz w:val="22"/>
          </w:rPr>
          <m:t>}</m:t>
        </m:r>
      </m:oMath>
      <w:r>
        <w:rPr>
          <w:rFonts w:ascii="Times New Roman" w:hAnsi="Times New Roman" w:eastAsia="Noto Serif CJK SC"/>
          <w:b w:val="0"/>
          <w:sz w:val="20"/>
        </w:rPr>
        <w:tab/>
        <w:t>（12）</w:t>
      </w:r>
    </w:p>
    <w:p>
      <w:pPr>
        <w:spacing w:line="324" w:lineRule="auto" w:after="100"/>
        <w:ind w:firstLine="420"/>
      </w:pPr>
      <w:r>
        <w:rPr>
          <w:rFonts w:ascii="Times New Roman" w:hAnsi="Times New Roman" w:eastAsia="Noto Serif CJK SC"/>
          <w:b w:val="0"/>
          <w:sz w:val="22"/>
        </w:rPr>
        <w:t>式（12）中，</w:t>
      </w:r>
      <m:oMath>
        <m:sSup>
          <m:e>
            <m:r>
              <m:rPr>
                <m:sty m:val="i"/>
              </m:rPr>
              <w:rPr>
                <w:rFonts w:ascii="Cambria Math" w:hAnsi="Cambria Math"/>
                <w:sz w:val="22"/>
              </w:rPr>
              <m:t>ω</m:t>
            </m:r>
          </m:e>
          <m:sup>
            <m:r>
              <m:rPr>
                <m:sty m:val="i"/>
              </m:rPr>
              <w:rPr>
                <w:rFonts w:ascii="Cambria Math" w:hAnsi="Cambria Math"/>
                <w:sz w:val="22"/>
              </w:rPr>
              <m:t>′</m:t>
            </m:r>
          </m:sup>
        </m:sSup>
      </m:oMath>
      <w:r>
        <w:rPr>
          <w:rFonts w:ascii="Times New Roman" w:hAnsi="Times New Roman" w:eastAsia="Noto Serif CJK SC"/>
          <w:b w:val="0"/>
          <w:sz w:val="22"/>
        </w:rPr>
        <w:t>为提议基础变量，</w:t>
      </w:r>
      <m:oMath>
        <m:sSub>
          <m:e>
            <m:r>
              <m:rPr>
                <m:sty m:val="i"/>
              </m:rPr>
              <w:rPr>
                <w:rFonts w:ascii="Cambria Math" w:hAnsi="Cambria Math"/>
                <w:sz w:val="22"/>
              </w:rPr>
              <m:t>a</m:t>
            </m:r>
          </m:e>
          <m:sub>
            <m:r>
              <m:rPr>
                <m:sty m:val="i"/>
              </m:rPr>
              <w:rPr>
                <w:rFonts w:ascii="Cambria Math" w:hAnsi="Cambria Math"/>
                <w:sz w:val="22"/>
              </w:rPr>
              <m:t>b</m:t>
            </m:r>
          </m:sub>
        </m:sSub>
      </m:oMath>
      <w:r>
        <w:rPr>
          <w:rFonts w:ascii="Times New Roman" w:hAnsi="Times New Roman" w:eastAsia="Noto Serif CJK SC"/>
          <w:b w:val="0"/>
          <w:sz w:val="22"/>
        </w:rPr>
        <w:t>取1时接受、取0时保持原链状态。pCN或均匀刷新在基础空间中保持相应先验，层内固定的选组概率及掩码使其组合仍具有确定的提议规则；实际执行结果再限定当前分支及风险条件。生成与物理投影统一包含在实例映射中，搜索不需要对ADS或整个交通仿真求导。该处理用于条件失效发现，搜索命中比例仍按自适应样本解释。</w:t>
      </w:r>
    </w:p>
    <w:p>
      <w:pPr>
        <w:spacing w:line="324" w:lineRule="auto" w:after="100"/>
        <w:ind w:firstLine="420"/>
      </w:pPr>
      <w:r>
        <w:rPr>
          <w:rFonts w:ascii="Times New Roman" w:hAnsi="Times New Roman" w:eastAsia="Noto Serif CJK SC"/>
          <w:b w:val="0"/>
          <w:sz w:val="22"/>
        </w:rPr>
        <w:t>分支划分选取来源及条件链较分散的少量代表，对代表之间的基础随机坐标中点重新实例化并闭环执行。中点分数不低于两端较低分数时建立性能关系边，再由社区划分及输入分类器形成候选分支。该处理采用已有生态位子集模拟的分支思想，将判别查询落实到完整交互世界。查询预算不足时保留“关系未知”，不据未检查关系宣布分离；单个孤立点保存为候选。</w:t>
      </w:r>
    </w:p>
    <w:p>
      <w:pPr>
        <w:spacing w:line="324" w:lineRule="auto" w:after="100"/>
        <w:ind w:firstLine="420"/>
      </w:pPr>
      <w:r>
        <w:rPr>
          <w:rFonts w:ascii="Times New Roman" w:hAnsi="Times New Roman" w:eastAsia="Noto Serif CJK SC"/>
          <w:b w:val="0"/>
          <w:sz w:val="22"/>
        </w:rPr>
        <w:t>本交底书所称“多失效域”指面向不同失效区域进行分支搜索与组织。当前工程以有限性能检查形成经验搜索分支；分支数量、采样祖先数量及碰撞输入数量分别记录，不将它们互相等同，也不据此声称已枚举全部失效连通域。</w:t>
      </w:r>
    </w:p>
    <w:p>
      <w:pPr>
        <w:pStyle w:val="Heading2"/>
        <w:keepNext/>
        <w:spacing w:before="160" w:after="100"/>
      </w:pPr>
      <w:r>
        <w:rPr>
          <w:rFonts w:ascii="Times New Roman" w:hAnsi="Times New Roman" w:eastAsia="Noto Serif CJK SC"/>
          <w:b/>
          <w:sz w:val="23"/>
        </w:rPr>
        <w:t>4.4 分支档案、成功邻点及修复反馈</w:t>
      </w:r>
    </w:p>
    <w:p>
      <w:pPr>
        <w:spacing w:line="324" w:lineRule="auto" w:after="100"/>
        <w:ind w:firstLine="420"/>
      </w:pPr>
      <w:r>
        <w:rPr>
          <w:rFonts w:ascii="Times New Roman" w:hAnsi="Times New Roman" w:eastAsia="Noto Serif CJK SC"/>
          <w:b w:val="0"/>
          <w:sz w:val="22"/>
        </w:rPr>
        <w:t>在每个分支中，先保留高风险失效，再按照归一化交互描述的最远点原则选择差异较大的代表，设置分支容量及同一祖先的代表上限。交互描述来自实际最危险时刻、相对运动和接管理由，用于域内分散选样，不预先决定失效类别或分支数量。</w:t>
      </w:r>
    </w:p>
    <w:p>
      <w:pPr>
        <w:spacing w:line="324" w:lineRule="auto" w:after="100"/>
        <w:ind w:firstLine="420"/>
      </w:pPr>
      <w:r>
        <w:rPr>
          <w:rFonts w:ascii="Times New Roman" w:hAnsi="Times New Roman" w:eastAsia="Noto Serif CJK SC"/>
          <w:b w:val="0"/>
          <w:sz w:val="22"/>
        </w:rPr>
        <w:t>若实际执行过的单组父子实例具有相同占位结构且安全结果相反，则保存失效实例及其成功邻点，记录两者完整输入和提议关系。此处成功邻点表示相对于安全失效判据的非失效端点，进入保持材料前还需核对完整执行及未停车资格。该邻点用于局部结果变化及后续回归检查，不要求其与失效实例具有相同初态，也不据两端结果证明中间区域均为某一标签。没有实际成功邻点时保持为空。</w:t>
      </w:r>
    </w:p>
    <w:p>
      <w:pPr>
        <w:spacing w:line="324" w:lineRule="auto" w:after="100"/>
        <w:ind w:firstLine="420"/>
      </w:pPr>
      <w:r>
        <w:rPr>
          <w:rFonts w:ascii="Times New Roman" w:hAnsi="Times New Roman" w:eastAsia="Noto Serif CJK SC"/>
          <w:b w:val="0"/>
          <w:sz w:val="22"/>
        </w:rPr>
        <w:t>修复取材按分支轮转并在选取失效代表时去除重复祖先，使不同搜索区域能够提供学习材料；相应成功邻点可以进入保持材料。失效标签绑定实际执行策略版本，不能凭历史标签把一个旧实例继续当作当前缺陷。</w:t>
      </w:r>
    </w:p>
    <w:p>
      <w:pPr>
        <w:spacing w:line="324" w:lineRule="auto" w:after="100"/>
        <w:ind w:firstLine="420"/>
      </w:pPr>
      <w:r>
        <w:rPr>
          <w:rFonts w:ascii="Times New Roman" w:hAnsi="Times New Roman" w:eastAsia="Noto Serif CJK SC"/>
          <w:b w:val="0"/>
          <w:sz w:val="22"/>
        </w:rPr>
        <w:t>在已接纳策略更新后，恢复旧档案中选定端点的相同实例、世界资产和外生输入，重新执行。背景车辆依据新主车行为响应，所以比较保持的是输入条件；实际主车、周车轨迹均可改变。已重测旧失效仍失效的记录形成持续失效需求，已重测旧成功转为失效的记录形成回归需求。</w:t>
      </w:r>
    </w:p>
    <w:p>
      <w:pPr>
        <w:keepNext/>
        <w:spacing w:line="324" w:lineRule="auto" w:after="100"/>
        <w:ind w:firstLine="420"/>
      </w:pPr>
      <w:r>
        <w:rPr>
          <w:rFonts w:ascii="Times New Roman" w:hAnsi="Times New Roman" w:eastAsia="Noto Serif CJK SC"/>
          <w:b w:val="0"/>
          <w:sz w:val="22"/>
        </w:rPr>
        <w:t>新一轮从独立先验建立当前策略的搜索树，将已重测端点按当前分支划分归属，再计算各分支的反馈权重：</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w</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u</m:t>
            </m:r>
          </m:e>
          <m:sub>
            <m:r>
              <m:rPr>
                <m:sty m:val="i"/>
              </m:rPr>
              <w:rPr>
                <w:rFonts w:ascii="Cambria Math" w:hAnsi="Cambria Math"/>
                <w:sz w:val="22"/>
              </w:rPr>
              <m:t>b</m:t>
            </m:r>
          </m:sub>
        </m:sSub>
        <m:r>
          <m:rPr>
            <m:sty m:val="p"/>
          </m:rPr>
          <w:rPr>
            <w:rFonts w:ascii="Cambria Math" w:hAnsi="Cambria Math"/>
            <w:sz w:val="22"/>
          </w:rPr>
          <m:t>+</m:t>
        </m:r>
        <m:r>
          <m:rPr>
            <m:sty m:val="p"/>
          </m:rPr>
          <w:rPr>
            <w:rFonts w:ascii="Cambria Math" w:hAnsi="Cambria Math"/>
            <w:sz w:val="22"/>
          </w:rPr>
          <m:t>2</m:t>
        </m:r>
        <m:sSub>
          <m:e>
            <m:r>
              <m:rPr>
                <m:sty m:val="i"/>
              </m:rPr>
              <w:rPr>
                <w:rFonts w:ascii="Cambria Math" w:hAnsi="Cambria Math"/>
                <w:sz w:val="22"/>
              </w:rPr>
              <m:t>v</m:t>
            </m:r>
          </m:e>
          <m:sub>
            <m:r>
              <m:rPr>
                <m:sty m:val="i"/>
              </m:rPr>
              <w:rPr>
                <w:rFonts w:ascii="Cambria Math" w:hAnsi="Cambria Math"/>
                <w:sz w:val="22"/>
              </w:rPr>
              <m:t>b</m:t>
            </m:r>
          </m:sub>
        </m:sSub>
      </m:oMath>
      <w:r>
        <w:rPr>
          <w:rFonts w:ascii="Times New Roman" w:hAnsi="Times New Roman" w:eastAsia="Noto Serif CJK SC"/>
          <w:b w:val="0"/>
          <w:sz w:val="20"/>
        </w:rPr>
        <w:tab/>
        <w:t>（13）</w:t>
      </w:r>
    </w:p>
    <w:p>
      <w:pPr>
        <w:spacing w:line="324" w:lineRule="auto" w:after="100"/>
        <w:ind w:firstLine="420"/>
      </w:pPr>
      <w:r>
        <w:rPr>
          <w:rFonts w:ascii="Times New Roman" w:hAnsi="Times New Roman" w:eastAsia="Noto Serif CJK SC"/>
          <w:b w:val="0"/>
          <w:sz w:val="22"/>
        </w:rPr>
        <w:t>式（13）中，</w:t>
      </w:r>
      <m:oMath>
        <m:sSub>
          <m:e>
            <m:r>
              <m:rPr>
                <m:sty m:val="i"/>
              </m:rPr>
              <w:rPr>
                <w:rFonts w:ascii="Cambria Math" w:hAnsi="Cambria Math"/>
                <w:sz w:val="22"/>
              </w:rPr>
              <m:t>u</m:t>
            </m:r>
          </m:e>
          <m:sub>
            <m:r>
              <m:rPr>
                <m:sty m:val="i"/>
              </m:rPr>
              <w:rPr>
                <w:rFonts w:ascii="Cambria Math" w:hAnsi="Cambria Math"/>
                <w:sz w:val="22"/>
              </w:rPr>
              <m:t>b</m:t>
            </m:r>
          </m:sub>
        </m:sSub>
      </m:oMath>
      <w:r>
        <w:rPr>
          <w:rFonts w:ascii="Times New Roman" w:hAnsi="Times New Roman" w:eastAsia="Noto Serif CJK SC"/>
          <w:b w:val="0"/>
          <w:sz w:val="22"/>
        </w:rPr>
        <w:t>为落入当前分支且已重测的旧失效中仍失效的比例，</w:t>
      </w:r>
      <m:oMath>
        <m:sSub>
          <m:e>
            <m:r>
              <m:rPr>
                <m:sty m:val="i"/>
              </m:rPr>
              <w:rPr>
                <w:rFonts w:ascii="Cambria Math" w:hAnsi="Cambria Math"/>
                <w:sz w:val="22"/>
              </w:rPr>
              <m:t>v</m:t>
            </m:r>
          </m:e>
          <m:sub>
            <m:r>
              <m:rPr>
                <m:sty m:val="i"/>
              </m:rPr>
              <w:rPr>
                <w:rFonts w:ascii="Cambria Math" w:hAnsi="Cambria Math"/>
                <w:sz w:val="22"/>
              </w:rPr>
              <m:t>b</m:t>
            </m:r>
          </m:sub>
        </m:sSub>
      </m:oMath>
      <w:r>
        <w:rPr>
          <w:rFonts w:ascii="Times New Roman" w:hAnsi="Times New Roman" w:eastAsia="Noto Serif CJK SC"/>
          <w:b w:val="0"/>
          <w:sz w:val="22"/>
        </w:rPr>
        <w:t>为相应已重测旧成功中转为失效的比例；对应已重测集合为空时该项取零，同时记录缺少反馈样本。系数1为基础探索权重，1与2为本实施例的两类反馈系数，可以在测试前配置。</w:t>
      </w:r>
    </w:p>
    <w:p>
      <w:pPr>
        <w:spacing w:line="324" w:lineRule="auto" w:after="100"/>
        <w:ind w:firstLine="420"/>
      </w:pPr>
      <w:r>
        <w:rPr>
          <w:rFonts w:ascii="Times New Roman" w:hAnsi="Times New Roman" w:eastAsia="Noto Serif CJK SC"/>
          <w:b w:val="0"/>
          <w:sz w:val="22"/>
        </w:rPr>
        <w:t>设</w:t>
      </w:r>
      <m:oMath>
        <m:sSub>
          <m:e>
            <m:r>
              <m:rPr>
                <m:sty m:val="i"/>
              </m:rPr>
              <w:rPr>
                <w:rFonts w:ascii="Cambria Math" w:hAnsi="Cambria Math"/>
                <w:sz w:val="22"/>
              </w:rPr>
              <m:t>n</m:t>
            </m:r>
          </m:e>
          <m:sub>
            <m:r>
              <m:rPr>
                <m:sty m:val="i"/>
              </m:rPr>
              <w:rPr>
                <w:rFonts w:ascii="Cambria Math" w:hAnsi="Cambria Math"/>
                <w:sz w:val="22"/>
              </w:rPr>
              <m:t>b</m:t>
            </m:r>
          </m:sub>
        </m:sSub>
      </m:oMath>
      <w:r>
        <w:rPr>
          <w:rFonts w:ascii="Times New Roman" w:hAnsi="Times New Roman" w:eastAsia="Noto Serif CJK SC"/>
          <w:b w:val="0"/>
          <w:sz w:val="22"/>
        </w:rPr>
        <w:t>为当前分支已分配的提议执行数，在活跃分支中优先选择</w:t>
      </w:r>
      <m:oMath>
        <m:sSub>
          <m:e>
            <m:r>
              <m:rPr>
                <m:sty m:val="i"/>
              </m:rPr>
              <w:rPr>
                <w:rFonts w:ascii="Cambria Math" w:hAnsi="Cambria Math"/>
                <w:sz w:val="22"/>
              </w:rPr>
              <m:t>n</m:t>
            </m:r>
          </m:e>
          <m:sub>
            <m:r>
              <m:rPr>
                <m:sty m:val="i"/>
              </m:rPr>
              <w:rPr>
                <w:rFonts w:ascii="Cambria Math" w:hAnsi="Cambria Math"/>
                <w:sz w:val="22"/>
              </w:rPr>
              <m:t>b</m:t>
            </m:r>
          </m:sub>
        </m:sSub>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b</m:t>
            </m:r>
          </m:sub>
        </m:sSub>
      </m:oMath>
      <w:r>
        <w:rPr>
          <w:rFonts w:ascii="Times New Roman" w:hAnsi="Times New Roman" w:eastAsia="Noto Serif CJK SC"/>
          <w:b w:val="0"/>
          <w:sz w:val="22"/>
        </w:rPr>
        <w:t>较小者，形成加权公平分配。敏感度决定选定分支内主要改变哪类输入，反馈权重决定优先在哪个分支继续执行。旧分支与新分支通过重测端点的成员关系记录延续、分裂或合并；旧条件粒子不直接作为新策略的条件样本，保留的新先验抽样用于发现旧档案之外的失效。</w:t>
      </w:r>
    </w:p>
    <w:p>
      <w:pPr>
        <w:spacing w:line="324" w:lineRule="auto" w:after="100"/>
        <w:ind w:firstLine="420"/>
      </w:pPr>
      <w:r>
        <w:rPr>
          <w:rFonts w:ascii="Times New Roman" w:hAnsi="Times New Roman" w:eastAsia="Noto Serif CJK SC"/>
          <w:b w:val="0"/>
          <w:sz w:val="22"/>
        </w:rPr>
        <w:t>两个调整环节分别使用不同的比较记录。组敏感度比较同一策略下的父子输入，并在下一层改变组选择；分支权重比较相同完整输入在新旧策略下的安全标签，并在当前分支中确定执行优先级。先选择分支再选择该分支的输入组，最终产生一次具体的仿真调用。基础权重和独立先验抽样为尚无历史端点的区域保留探索机会。</w:t>
      </w:r>
    </w:p>
    <w:p>
      <w:pPr>
        <w:spacing w:line="324" w:lineRule="auto" w:after="100"/>
        <w:ind w:firstLine="420"/>
      </w:pPr>
      <w:r>
        <w:rPr>
          <w:rFonts w:ascii="Times New Roman" w:hAnsi="Times New Roman" w:eastAsia="Noto Serif CJK SC"/>
          <w:b w:val="0"/>
          <w:sz w:val="22"/>
        </w:rPr>
        <w:t>例如，在同一当前搜索子树内，来自同一旧分支的重测端点分布在两个当前分支时，按其当前成员关系分别计算持续失效与成功回归，而不把旧分支的整体比例直接复制给两个分支。若部分旧成功端点转为失效，其需求通过对应当前分支的回归项进入优先级；该端点在材料入口还会按当前结果判断需纠正还是可保持。</w:t>
      </w:r>
    </w:p>
    <w:p>
      <w:pPr>
        <w:keepNext/>
        <w:spacing w:line="324" w:lineRule="auto" w:after="100"/>
        <w:ind w:firstLine="0"/>
        <w:jc w:val="center"/>
      </w:pPr>
      <w:r>
        <w:rPr>
          <w:rFonts w:ascii="Times New Roman" w:hAnsi="Times New Roman" w:eastAsia="Noto Serif CJK SC"/>
          <w:b/>
          <w:sz w:val="22"/>
        </w:rPr>
        <w:t>图5 生成变量、搜索分支与修复后复测的关系（附图占位）</w:t>
      </w:r>
    </w:p>
    <w:p>
      <w:pPr>
        <w:spacing w:line="324" w:lineRule="auto" w:after="100"/>
        <w:ind w:firstLine="420"/>
      </w:pPr>
      <w:r>
        <w:rPr>
          <w:rFonts w:ascii="Times New Roman" w:hAnsi="Times New Roman" w:eastAsia="Noto Serif CJK SC"/>
          <w:b w:val="0"/>
          <w:sz w:val="22"/>
        </w:rPr>
        <w:t>上部绘制八类输入经生成器成为实例和实际结果；中部绘制分支内阈值推进、代表与成功邻点；下部绘制同输入新策略复测、旧端点映射到当前分支、两类反馈及公平选择。风险差箭头连接组敏感度，版本结果变化箭头连接分支权重，二者分别标识。</w:t>
      </w:r>
    </w:p>
    <w:p>
      <w:pPr>
        <w:pStyle w:val="Heading2"/>
        <w:keepNext/>
        <w:spacing w:before="160" w:after="100"/>
      </w:pPr>
      <w:r>
        <w:rPr>
          <w:rFonts w:ascii="Times New Roman" w:hAnsi="Times New Roman" w:eastAsia="Noto Serif CJK SC"/>
          <w:b/>
          <w:sz w:val="23"/>
        </w:rPr>
        <w:t>4.5 从执行证据到原生修复目标</w:t>
      </w:r>
    </w:p>
    <w:p>
      <w:pPr>
        <w:spacing w:line="324" w:lineRule="auto" w:after="100"/>
        <w:ind w:firstLine="420"/>
      </w:pPr>
      <w:r>
        <w:rPr>
          <w:rFonts w:ascii="Times New Roman" w:hAnsi="Times New Roman" w:eastAsia="Noto Serif CJK SC"/>
          <w:b w:val="0"/>
          <w:sz w:val="22"/>
        </w:rPr>
        <w:t>对需要修正的失效实例，从相同完整初态及外生输入验证另一主车控制行为，允许周车正常响应。可采用目标车道、目标速度和机动时序的有限候选表，先粗搜索再细化。仅对完整执行、无主车碰撞、无越界且未停车的候选生成正向纠正材料；多个候选合格时，优先选择对原行驶意图改动较小者，再比较平顺性与任务表现。候选额度内没有合格结果时，保留缺陷状态。</w:t>
      </w:r>
    </w:p>
    <w:p>
      <w:pPr>
        <w:spacing w:line="324" w:lineRule="auto" w:after="100"/>
        <w:ind w:firstLine="420"/>
      </w:pPr>
      <w:r>
        <w:rPr>
          <w:rFonts w:ascii="Times New Roman" w:hAnsi="Times New Roman" w:eastAsia="Noto Serif CJK SC"/>
          <w:b w:val="0"/>
          <w:sz w:val="22"/>
        </w:rPr>
        <w:t>纠正主车未来及周车未来共同取自该次成功执行，观测由相应决策时刻及过去历史构造。成功邻点或当前策略原本成功的实例保留其策略版本和因果观测，用于保持已有效的行为；成功邻点不替代原失效自身的纠正验证。原任务人类数据继续提供其原生监督。由此区分纠正材料、成功保持材料及原任务材料，并使来源标记进入学习计算。</w:t>
      </w:r>
    </w:p>
    <w:p>
      <w:pPr>
        <w:keepNext/>
        <w:spacing w:line="324" w:lineRule="auto" w:after="100"/>
        <w:ind w:firstLine="420"/>
      </w:pPr>
      <w:r>
        <w:rPr>
          <w:rFonts w:ascii="Times New Roman" w:hAnsi="Times New Roman" w:eastAsia="Noto Serif CJK SC"/>
          <w:b w:val="0"/>
          <w:sz w:val="22"/>
        </w:rPr>
        <w:t>在监督规划器中，以</w:t>
      </w:r>
      <m:oMath>
        <m:sSub>
          <m:e>
            <m:r>
              <m:rPr>
                <m:sty m:val="i"/>
              </m:rPr>
              <w:rPr>
                <w:rFonts w:ascii="Cambria Math" w:hAnsi="Cambria Math"/>
                <w:sz w:val="22"/>
              </w:rPr>
              <m:t>L</m:t>
            </m:r>
          </m:e>
          <m:sub>
            <m:r>
              <m:rPr>
                <m:sty m:val="i"/>
              </m:rPr>
              <w:rPr>
                <w:rFonts w:ascii="Cambria Math" w:hAnsi="Cambria Math"/>
                <w:sz w:val="22"/>
              </w:rPr>
              <m:t>C</m:t>
            </m:r>
          </m:sub>
        </m:sSub>
      </m:oMath>
      <w:r>
        <w:rPr>
          <w:rFonts w:ascii="Times New Roman" w:hAnsi="Times New Roman" w:eastAsia="Noto Serif CJK SC"/>
          <w:b w:val="0"/>
          <w:sz w:val="22"/>
        </w:rPr>
        <w:t>表示纠正监督，以</w:t>
      </w:r>
      <m:oMath>
        <m:sSub>
          <m:e>
            <m:r>
              <m:rPr>
                <m:sty m:val="i"/>
              </m:rPr>
              <w:rPr>
                <w:rFonts w:ascii="Cambria Math" w:hAnsi="Cambria Math"/>
                <w:sz w:val="22"/>
              </w:rPr>
              <m:t>L</m:t>
            </m:r>
          </m:e>
          <m:sub>
            <m:r>
              <m:rPr>
                <m:sty m:val="i"/>
              </m:rPr>
              <w:rPr>
                <w:rFonts w:ascii="Cambria Math" w:hAnsi="Cambria Math"/>
                <w:sz w:val="22"/>
              </w:rPr>
              <m:t>N</m:t>
            </m:r>
          </m:sub>
        </m:sSub>
      </m:oMath>
      <w:r>
        <w:rPr>
          <w:rFonts w:ascii="Times New Roman" w:hAnsi="Times New Roman" w:eastAsia="Noto Serif CJK SC"/>
          <w:b w:val="0"/>
          <w:sz w:val="22"/>
        </w:rPr>
        <w:t>表示原任务监督，以</w:t>
      </w:r>
      <m:oMath>
        <m:sSub>
          <m:e>
            <m:r>
              <m:rPr>
                <m:sty m:val="i"/>
              </m:rPr>
              <w:rPr>
                <w:rFonts w:ascii="Cambria Math" w:hAnsi="Cambria Math"/>
                <w:sz w:val="22"/>
              </w:rPr>
              <m:t>L</m:t>
            </m:r>
          </m:e>
          <m:sub>
            <m:r>
              <m:rPr>
                <m:sty m:val="p"/>
              </m:rPr>
              <w:rPr>
                <w:rFonts w:ascii="Cambria Math" w:hAnsi="Cambria Math"/>
                <w:sz w:val="22"/>
              </w:rPr>
              <m:t>0</m:t>
            </m:r>
          </m:sub>
        </m:sSub>
      </m:oMath>
      <w:r>
        <w:rPr>
          <w:rFonts w:ascii="Times New Roman" w:hAnsi="Times New Roman" w:eastAsia="Noto Serif CJK SC"/>
          <w:b w:val="0"/>
          <w:sz w:val="22"/>
        </w:rPr>
        <w:t>及</w:t>
      </w:r>
      <m:oMath>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2"/>
        </w:rPr>
        <w:t>分别表示对最初部署模型和近期成功策略的功能保持，组合目标为：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L</m:t>
        </m:r>
        <m:r>
          <m:rPr>
            <m:sty m:val="p"/>
          </m:rPr>
          <w:rPr>
            <w:rFonts w:ascii="Cambria Math" w:hAnsi="Cambria Math"/>
            <w:sz w:val="22"/>
          </w:rPr>
          <m:t>=</m:t>
        </m:r>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N</m:t>
            </m:r>
          </m:sub>
        </m:sSub>
        <m:sSub>
          <m:e>
            <m:r>
              <m:rPr>
                <m:sty m:val="i"/>
              </m:rPr>
              <w:rPr>
                <w:rFonts w:ascii="Cambria Math" w:hAnsi="Cambria Math"/>
                <w:sz w:val="22"/>
              </w:rPr>
              <m:t>L</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sSub>
          <m:e>
            <m:r>
              <m:rPr>
                <m:sty m:val="i"/>
              </m:rPr>
              <w:rPr>
                <w:rFonts w:ascii="Cambria Math" w:hAnsi="Cambria Math"/>
                <w:sz w:val="22"/>
              </w:rPr>
              <m:t>L</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0"/>
        </w:rPr>
        <w:tab/>
        <w:t>（14）</w:t>
      </w:r>
    </w:p>
    <w:p>
      <w:pPr>
        <w:spacing w:line="324" w:lineRule="auto" w:after="100"/>
        <w:ind w:firstLine="420"/>
      </w:pPr>
      <w:r>
        <w:rPr>
          <w:rFonts w:ascii="Times New Roman" w:hAnsi="Times New Roman" w:eastAsia="Noto Serif CJK SC"/>
          <w:b w:val="0"/>
          <w:sz w:val="22"/>
        </w:rPr>
        <w:t>式（14）中，</w:t>
      </w:r>
      <m:oMath>
        <m:sSub>
          <m:e>
            <m:r>
              <m:rPr>
                <m:sty m:val="i"/>
              </m:rPr>
              <w:rPr>
                <w:rFonts w:ascii="Cambria Math" w:hAnsi="Cambria Math"/>
                <w:sz w:val="22"/>
              </w:rPr>
              <m:t>λ</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oMath>
      <w:r>
        <w:rPr>
          <w:rFonts w:ascii="Times New Roman" w:hAnsi="Times New Roman" w:eastAsia="Noto Serif CJK SC"/>
          <w:b w:val="0"/>
          <w:sz w:val="22"/>
        </w:rPr>
        <w:t>为由预定抽样比例及损失系数共同确定的非负权重。样本先按独立场景或采样祖先选择，再取决策时刻，避免密集帧放大单一事故的训练权重。本轮没有新的合格纠正材料时，监督修复保留原策略并记录材料状态。教师仅参与训练目标计算，最终由一份学生模型执行推断。</w:t>
      </w:r>
    </w:p>
    <w:p>
      <w:pPr>
        <w:keepNext/>
        <w:spacing w:line="324" w:lineRule="auto" w:after="100"/>
        <w:ind w:firstLine="420"/>
      </w:pPr>
      <w:r>
        <w:rPr>
          <w:rFonts w:ascii="Times New Roman" w:hAnsi="Times New Roman" w:eastAsia="Noto Serif CJK SC"/>
          <w:b w:val="0"/>
          <w:sz w:val="22"/>
        </w:rPr>
        <w:t>对采用固定未来表示的扩散规划器，按其原坐标、参考点及状态归一化转换联合轨迹</w:t>
      </w:r>
      <m:oMath>
        <m:r>
          <m:rPr>
            <m:sty m:val="i"/>
          </m:rPr>
          <w:rPr>
            <w:rFonts w:ascii="Cambria Math" w:hAnsi="Cambria Math"/>
            <w:sz w:val="22"/>
          </w:rPr>
          <m:t>Y</m:t>
        </m:r>
      </m:oMath>
      <w:r>
        <w:rPr>
          <w:rFonts w:ascii="Times New Roman" w:hAnsi="Times New Roman" w:eastAsia="Noto Serif CJK SC"/>
          <w:b w:val="0"/>
          <w:sz w:val="22"/>
        </w:rPr>
        <w:t>，一种实现以主车后轴局部坐标表示位置及航向角正余弦。以</w:t>
      </w:r>
      <m:oMath>
        <m:r>
          <m:rPr>
            <m:sty m:val="i"/>
          </m:rPr>
          <w:rPr>
            <w:rFonts w:ascii="Cambria Math" w:hAnsi="Cambria Math"/>
            <w:sz w:val="22"/>
          </w:rPr>
          <m:t>V</m:t>
        </m:r>
      </m:oMath>
      <w:r>
        <w:rPr>
          <w:rFonts w:ascii="Times New Roman" w:hAnsi="Times New Roman" w:eastAsia="Noto Serif CJK SC"/>
          <w:b w:val="0"/>
          <w:sz w:val="22"/>
        </w:rPr>
        <w:t>表示真实未来有效性掩码：车辆有效且未来时刻位于实际执行范围内时取1，否则取0；这与场景占位</w:t>
      </w:r>
      <m:oMath>
        <m:r>
          <m:rPr>
            <m:sty m:val="i"/>
          </m:rPr>
          <w:rPr>
            <w:rFonts w:ascii="Cambria Math" w:hAnsi="Cambria Math"/>
            <w:sz w:val="22"/>
          </w:rPr>
          <m:t>M</m:t>
        </m:r>
      </m:oMath>
      <w:r>
        <w:rPr>
          <w:rFonts w:ascii="Times New Roman" w:hAnsi="Times New Roman" w:eastAsia="Noto Serif CJK SC"/>
          <w:b w:val="0"/>
          <w:sz w:val="22"/>
        </w:rPr>
        <w:t>是不同对象。干净内容处理与加噪为：</w:t>
      </w:r>
    </w:p>
    <w:p>
      <w:pPr>
        <w:keepNext/>
        <w:tabs>
          <w:tab w:pos="4620" w:val="center"/>
          <w:tab w:pos="9241" w:val="right"/>
        </w:tabs>
        <w:spacing w:before="120" w:after="120"/>
      </w:pPr>
      <w:r>
        <w:rPr>
          <w:rFonts w:ascii="Times New Roman" w:hAnsi="Times New Roman" w:eastAsia="Noto Serif CJK SC"/>
          <w:b w:val="0"/>
          <w:sz w:val="22"/>
        </w:rPr>
        <w:tab/>
      </w:r>
      <m:oMath>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V</m:t>
        </m:r>
        <m:r>
          <m:rPr>
            <m:sty m:val="p"/>
          </m:rPr>
          <w:rPr>
            <w:rFonts w:ascii="Cambria Math" w:hAnsi="Cambria Math"/>
            <w:sz w:val="22"/>
          </w:rPr>
          <m:t>⊙</m:t>
        </m:r>
        <m:r>
          <m:rPr>
            <m:sty m:val="i"/>
          </m:rPr>
          <w:rPr>
            <w:rFonts w:ascii="Cambria Math" w:hAnsi="Cambria Math"/>
            <w:sz w:val="22"/>
          </w:rPr>
          <m:t>Y</m:t>
        </m:r>
        <m:r>
          <m:rPr>
            <m:sty m:val="p"/>
          </m:rPr>
          <w:rPr>
            <w:rFonts w:ascii="Cambria Math" w:hAnsi="Cambria Math"/>
            <w:sz w:val="22"/>
          </w:rPr>
          <m:t>,</m:t>
        </m:r>
        <m:r>
          <m:rPr>
            <m:sty m:val="p"/>
          </m:rPr>
          <w:rPr>
            <w:rFonts w:ascii="Cambria Math" w:hAnsi="Cambria Math"/>
            <w:sz w:val="22"/>
          </w:rPr>
          <m:t xml:space="preserve"> </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oMath>
      <w:r>
        <w:rPr>
          <w:rFonts w:ascii="Times New Roman" w:hAnsi="Times New Roman" w:eastAsia="Noto Serif CJK SC"/>
          <w:b w:val="0"/>
          <w:sz w:val="20"/>
        </w:rPr>
        <w:tab/>
        <w:t>（15）</w:t>
      </w:r>
    </w:p>
    <w:p>
      <w:pPr>
        <w:spacing w:line="324" w:lineRule="auto" w:after="100"/>
        <w:ind w:firstLine="420"/>
      </w:pPr>
      <w:r>
        <w:rPr>
          <w:rFonts w:ascii="Times New Roman" w:hAnsi="Times New Roman" w:eastAsia="Noto Serif CJK SC"/>
          <w:b w:val="0"/>
          <w:sz w:val="22"/>
        </w:rPr>
        <w:t>式（15）中，</w:t>
      </w:r>
      <m:oMath>
        <m:r>
          <m:rPr>
            <m:sty m:val="p"/>
          </m:rPr>
          <w:rPr>
            <w:rFonts w:ascii="Cambria Math" w:hAnsi="Cambria Math"/>
            <w:sz w:val="22"/>
          </w:rPr>
          <m:t>⊙</m:t>
        </m:r>
      </m:oMath>
      <w:r>
        <w:rPr>
          <w:rFonts w:ascii="Times New Roman" w:hAnsi="Times New Roman" w:eastAsia="Noto Serif CJK SC"/>
          <w:b w:val="0"/>
          <w:sz w:val="22"/>
        </w:rPr>
        <w:t>表示广播逐元素乘法，</w:t>
      </w:r>
      <m:oMath>
        <m:r>
          <m:rPr>
            <m:sty m:val="i"/>
          </m:rPr>
          <w:rPr>
            <w:rFonts w:ascii="Cambria Math" w:hAnsi="Cambria Math"/>
            <w:sz w:val="22"/>
          </w:rPr>
          <m:t>η</m:t>
        </m:r>
      </m:oMath>
      <w:r>
        <w:rPr>
          <w:rFonts w:ascii="Times New Roman" w:hAnsi="Times New Roman" w:eastAsia="Noto Serif CJK SC"/>
          <w:b w:val="0"/>
          <w:sz w:val="22"/>
        </w:rPr>
        <w:t>为扩散时刻，</w:t>
      </w:r>
      <m:oMath>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σ</m:t>
        </m:r>
      </m:oMath>
      <w:r>
        <w:rPr>
          <w:rFonts w:ascii="Times New Roman" w:hAnsi="Times New Roman" w:eastAsia="Noto Serif CJK SC"/>
          <w:b w:val="0"/>
          <w:sz w:val="22"/>
        </w:rPr>
        <w:t>为原生加噪系数，</w:t>
      </w:r>
      <m:oMath>
        <m:r>
          <m:rPr>
            <m:sty m:val="i"/>
          </m:rPr>
          <w:rPr>
            <w:rFonts w:ascii="Cambria Math" w:hAnsi="Cambria Math"/>
            <w:sz w:val="22"/>
          </w:rPr>
          <m:t>ξ</m:t>
        </m:r>
      </m:oMath>
      <w:r>
        <w:rPr>
          <w:rFonts w:ascii="Times New Roman" w:hAnsi="Times New Roman" w:eastAsia="Noto Serif CJK SC"/>
          <w:b w:val="0"/>
          <w:sz w:val="22"/>
        </w:rPr>
        <w:t>为完整固定窗口的标准高斯噪声。无效干净位置在归一化后再次置零；对当前存在车辆的未知未来，保留带噪输入中的噪声分量，仅屏蔽相应输出误差。当前缺席车辆按规划器原接口处理。</w:t>
      </w:r>
    </w:p>
    <w:p>
      <w:pPr>
        <w:keepNext/>
        <w:spacing w:line="324" w:lineRule="auto" w:after="100"/>
        <w:ind w:firstLine="420"/>
      </w:pPr>
      <w:r>
        <w:rPr>
          <w:rFonts w:ascii="Times New Roman" w:hAnsi="Times New Roman" w:eastAsia="Noto Serif CJK SC"/>
          <w:b w:val="0"/>
          <w:sz w:val="22"/>
        </w:rPr>
        <w:t>以</w:t>
      </w:r>
      <m:oMath>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表示学生在观测</w:t>
      </w:r>
      <m:oMath>
        <m:r>
          <m:rPr>
            <m:sty m:val="i"/>
          </m:rPr>
          <w:rPr>
            <w:rFonts w:ascii="Cambria Math" w:hAnsi="Cambria Math"/>
            <w:sz w:val="22"/>
          </w:rPr>
          <m:t>o</m:t>
        </m:r>
      </m:oMath>
      <w:r>
        <w:rPr>
          <w:rFonts w:ascii="Times New Roman" w:hAnsi="Times New Roman" w:eastAsia="Noto Serif CJK SC"/>
          <w:b w:val="0"/>
          <w:sz w:val="22"/>
        </w:rPr>
        <w:t>及给定扩散输入上的原生去噪输出，</w:t>
      </w:r>
      <m:oMath>
        <m:r>
          <m:rPr>
            <m:sty m:val="i"/>
          </m:rPr>
          <w:rPr>
            <w:rFonts w:ascii="Cambria Math" w:hAnsi="Cambria Math"/>
            <w:sz w:val="22"/>
          </w:rPr>
          <m:t>θ</m:t>
        </m:r>
      </m:oMath>
      <w:r>
        <w:rPr>
          <w:rFonts w:ascii="Times New Roman" w:hAnsi="Times New Roman" w:eastAsia="Noto Serif CJK SC"/>
          <w:b w:val="0"/>
          <w:sz w:val="22"/>
        </w:rPr>
        <w:t>为其参数。在干净轨迹预测参数化下，纠正材料集合</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的目标为：</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cr m:val="double-struck"/>
                <m:sty m:val="p"/>
              </m:rPr>
              <w:rPr>
                <w:rFonts w:ascii="Cambria Math" w:hAnsi="Cambria Math"/>
                <w:sz w:val="22"/>
              </w:rPr>
              <m:t>E</m:t>
            </m:r>
          </m:e>
          <m:sub>
            <m:sSub>
              <m:e>
                <m:r>
                  <m:rPr>
                    <m:sty m:val="i"/>
                  </m:rPr>
                  <w:rPr>
                    <w:rFonts w:ascii="Cambria Math" w:hAnsi="Cambria Math"/>
                    <w:sz w:val="22"/>
                  </w:rPr>
                  <m:t>D</m:t>
                </m:r>
              </m:e>
              <m:sub>
                <m:r>
                  <m:rPr>
                    <m:sty m:val="i"/>
                  </m:rPr>
                  <w:rPr>
                    <w:rFonts w:ascii="Cambria Math" w:hAnsi="Cambria Math"/>
                    <w:sz w:val="22"/>
                  </w:rPr>
                  <m:t>C</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sSubSup>
          <m:e>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0"/>
        </w:rPr>
        <w:tab/>
        <w:t>（16）</w:t>
      </w:r>
    </w:p>
    <w:p>
      <w:pPr>
        <w:spacing w:line="324" w:lineRule="auto" w:after="100"/>
        <w:ind w:firstLine="420"/>
      </w:pPr>
      <w:r>
        <w:rPr>
          <w:rFonts w:ascii="Times New Roman" w:hAnsi="Times New Roman" w:eastAsia="Noto Serif CJK SC"/>
          <w:b w:val="0"/>
          <w:sz w:val="22"/>
        </w:rPr>
        <w:t>式（16）中，</w:t>
      </w:r>
      <m:oMath>
        <m:r>
          <m:rPr>
            <m:sty m:val="p"/>
          </m:rPr>
          <w:rPr>
            <w:rFonts w:ascii="Cambria Math" w:hAnsi="Cambria Math"/>
            <w:sz w:val="22"/>
          </w:rPr>
          <m:t>‖</m:t>
        </m:r>
        <m:r>
          <m:rPr>
            <m:sty m:val="p"/>
          </m:rPr>
          <w:rPr>
            <w:rFonts w:ascii="Cambria Math" w:hAnsi="Cambria Math"/>
            <w:sz w:val="22"/>
          </w:rPr>
          <m:t>·</m:t>
        </m:r>
        <m:sSubSup>
          <m:e>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2"/>
        </w:rPr>
        <w:t>表示在有效未来位置求平方误差均值；一种实现对主车及周车分别求均值后相加，空有效集合取零。原任务按有效人类标签计算对应监督。采用其他原生去噪参数化时，使用其实际目标。</w:t>
      </w:r>
    </w:p>
    <w:p>
      <w:pPr>
        <w:keepNext/>
        <w:spacing w:line="324" w:lineRule="auto" w:after="100"/>
        <w:ind w:firstLine="420"/>
      </w:pPr>
      <w:r>
        <w:rPr>
          <w:rFonts w:ascii="Times New Roman" w:hAnsi="Times New Roman" w:eastAsia="Noto Serif CJK SC"/>
          <w:b w:val="0"/>
          <w:sz w:val="22"/>
        </w:rPr>
        <w:t>对策略成功材料集合</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，以产生成功执行的部署版本</w:t>
      </w:r>
      <m:oMath>
        <m:sSub>
          <m:e>
            <m:r>
              <m:rPr>
                <m:sty m:val="i"/>
              </m:rPr>
              <w:rPr>
                <w:rFonts w:ascii="Cambria Math" w:hAnsi="Cambria Math"/>
                <w:sz w:val="22"/>
              </w:rPr>
              <m:t>θ</m:t>
            </m:r>
          </m:e>
          <m:sub>
            <m:r>
              <m:rPr>
                <m:sty m:val="i"/>
              </m:rPr>
              <w:rPr>
                <w:rFonts w:ascii="Cambria Math" w:hAnsi="Cambria Math"/>
                <w:sz w:val="22"/>
              </w:rPr>
              <m:t>r</m:t>
            </m:r>
          </m:sub>
        </m:sSub>
      </m:oMath>
      <w:r>
        <w:rPr>
          <w:rFonts w:ascii="Times New Roman" w:hAnsi="Times New Roman" w:eastAsia="Noto Serif CJK SC"/>
          <w:b w:val="0"/>
          <w:sz w:val="22"/>
        </w:rPr>
        <w:t>作为冻结参照：</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S</m:t>
            </m:r>
          </m:sub>
        </m:sSub>
        <m:r>
          <m:rPr>
            <m:sty m:val="p"/>
          </m:rPr>
          <w:rPr>
            <w:rFonts w:ascii="Cambria Math" w:hAnsi="Cambria Math"/>
            <w:sz w:val="22"/>
          </w:rPr>
          <m:t>=</m:t>
        </m:r>
        <m:sSub>
          <m:e>
            <m:r>
              <m:rPr>
                <m:scr m:val="double-struck"/>
                <m:sty m:val="p"/>
              </m:rPr>
              <w:rPr>
                <w:rFonts w:ascii="Cambria Math" w:hAnsi="Cambria Math"/>
                <w:sz w:val="22"/>
              </w:rPr>
              <m:t>E</m:t>
            </m:r>
          </m:e>
          <m:sub>
            <m:sSub>
              <m:e>
                <m:r>
                  <m:rPr>
                    <m:sty m:val="i"/>
                  </m:rPr>
                  <w:rPr>
                    <w:rFonts w:ascii="Cambria Math" w:hAnsi="Cambria Math"/>
                    <w:sz w:val="22"/>
                  </w:rPr>
                  <m:t>D</m:t>
                </m:r>
              </m:e>
              <m:sub>
                <m:r>
                  <m:rPr>
                    <m:sty m:val="i"/>
                  </m:rPr>
                  <w:rPr>
                    <w:rFonts w:ascii="Cambria Math" w:hAnsi="Cambria Math"/>
                    <w:sz w:val="22"/>
                  </w:rPr>
                  <m:t>S</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sSubSup>
          <m:e>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sSub>
                  <m:e>
                    <m:r>
                      <m:rPr>
                        <m:sty m:val="i"/>
                      </m:rPr>
                      <w:rPr>
                        <w:rFonts w:ascii="Cambria Math" w:hAnsi="Cambria Math"/>
                        <w:sz w:val="22"/>
                      </w:rPr>
                      <m:t>θ</m:t>
                    </m:r>
                  </m:e>
                  <m:sub>
                    <m:r>
                      <m:rPr>
                        <m:sty m:val="i"/>
                      </m:rPr>
                      <w:rPr>
                        <w:rFonts w:ascii="Cambria Math" w:hAnsi="Cambria Math"/>
                        <w:sz w:val="22"/>
                      </w:rPr>
                      <m:t>r</m:t>
                    </m:r>
                  </m:sub>
                </m:sSub>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e>
          <m:sub>
            <m:r>
              <m:rPr>
                <m:sty m:val="i"/>
              </m:rPr>
              <w:rPr>
                <w:rFonts w:ascii="Cambria Math" w:hAnsi="Cambria Math"/>
                <w:sz w:val="22"/>
              </w:rPr>
              <m:t>V</m:t>
            </m:r>
          </m:sub>
          <m:sup>
            <m:r>
              <m:rPr>
                <m:sty m:val="p"/>
              </m:rPr>
              <w:rPr>
                <w:rFonts w:ascii="Cambria Math" w:hAnsi="Cambria Math"/>
                <w:sz w:val="22"/>
              </w:rPr>
              <m:t>2</m:t>
            </m:r>
          </m:sup>
        </m:sSubSup>
      </m:oMath>
      <w:r>
        <w:rPr>
          <w:rFonts w:ascii="Times New Roman" w:hAnsi="Times New Roman" w:eastAsia="Noto Serif CJK SC"/>
          <w:b w:val="0"/>
          <w:sz w:val="20"/>
        </w:rPr>
        <w:tab/>
        <w:t>（17）</w:t>
      </w:r>
    </w:p>
    <w:p>
      <w:pPr>
        <w:spacing w:line="324" w:lineRule="auto" w:after="100"/>
        <w:ind w:firstLine="420"/>
      </w:pPr>
      <w:r>
        <w:rPr>
          <w:rFonts w:ascii="Times New Roman" w:hAnsi="Times New Roman" w:eastAsia="Noto Serif CJK SC"/>
          <w:b w:val="0"/>
          <w:sz w:val="22"/>
        </w:rPr>
        <w:t>式（17）中，教师与学生接收相同观测、带噪轨迹和扩散时刻。教师无梯度，学生保留梯度，比较期间关闭干扰输出差的随机层。成功记录的物理未来用于带噪内容及有效范围，学习目标则取自对应去噪器；实际运动包含跟踪与滚动重规划，不能直接将其等同于规划器单次输出。对最初正常能力采用固定原模型参照，对近期接纳策略的新成功采用相应部署版本参照。</w:t>
      </w:r>
    </w:p>
    <w:p>
      <w:pPr>
        <w:spacing w:line="324" w:lineRule="auto" w:after="100"/>
        <w:ind w:firstLine="420"/>
      </w:pPr>
      <w:r>
        <w:rPr>
          <w:rFonts w:ascii="Times New Roman" w:hAnsi="Times New Roman" w:eastAsia="Noto Serif CJK SC"/>
          <w:b w:val="0"/>
          <w:sz w:val="22"/>
        </w:rPr>
        <w:t>对于采用近端策略优化（PPO）的强化学习ADS，失效实例用于环境重置，由当前策略重新交互取得动作、回报及价值目标；旧执行轨迹和专家轨迹不作为当前策略经验。原任务及成功观测进入冻结教师约束，例如在连续动作Beta分布上计算具有学生梯度的相对熵。该学习路线与监督纠正共享世界实例、成功保持及开发接纳接口，具体训练目标按ADS原算法确定。</w:t>
      </w:r>
    </w:p>
    <w:p>
      <w:pPr>
        <w:spacing w:line="324" w:lineRule="auto" w:after="100"/>
        <w:ind w:firstLine="420"/>
      </w:pPr>
      <w:r>
        <w:rPr>
          <w:rFonts w:ascii="Times New Roman" w:hAnsi="Times New Roman" w:eastAsia="Noto Serif CJK SC"/>
          <w:b w:val="0"/>
          <w:sz w:val="22"/>
        </w:rPr>
        <w:t>参数更新在原网络内划分冻结与可训练部分，并固定归一化统计。监督实施例更新末部去噪块及输出层，强化学习实施例更新策略及价值输出相关模块；候选验证使用实际部署参数。采用指数滑动平均时，仅对可训练浮点参数维护平均，并保存与训练参数及优化器状态的对应关系。</w:t>
      </w:r>
    </w:p>
    <w:p>
      <w:pPr>
        <w:keepNext/>
        <w:spacing w:line="324" w:lineRule="auto" w:after="100"/>
        <w:ind w:firstLine="0"/>
        <w:jc w:val="center"/>
      </w:pPr>
      <w:r>
        <w:rPr>
          <w:rFonts w:ascii="Times New Roman" w:hAnsi="Times New Roman" w:eastAsia="Noto Serif CJK SC"/>
          <w:b/>
          <w:sz w:val="22"/>
        </w:rPr>
        <w:t>图6 执行来源、算法原生目标与候选验证（附图占位）</w:t>
      </w:r>
    </w:p>
    <w:p>
      <w:pPr>
        <w:spacing w:line="324" w:lineRule="auto" w:after="100"/>
        <w:ind w:firstLine="420"/>
      </w:pPr>
      <w:r>
        <w:rPr>
          <w:rFonts w:ascii="Times New Roman" w:hAnsi="Times New Roman" w:eastAsia="Noto Serif CJK SC"/>
          <w:b w:val="0"/>
          <w:sz w:val="22"/>
        </w:rPr>
        <w:t>将合格纠正、策略成功和原任务示范分别连接监督或功能保持目标；另绘制强化学习实例重置及当前策略采集。扩散子图标明实际未来掩码和完整窗口噪声。各路汇合到局部参数更新、部署参数、闭环开发验证及接纳或恢复。</w:t>
      </w:r>
    </w:p>
    <w:p>
      <w:pPr>
        <w:pStyle w:val="Heading2"/>
        <w:keepNext/>
        <w:spacing w:before="160" w:after="100"/>
      </w:pPr>
      <w:r>
        <w:rPr>
          <w:rFonts w:ascii="Times New Roman" w:hAnsi="Times New Roman" w:eastAsia="Noto Serif CJK SC"/>
          <w:b/>
          <w:sz w:val="23"/>
        </w:rPr>
        <w:t>4.6 候选接纳、继续测试与输出</w:t>
      </w:r>
    </w:p>
    <w:p>
      <w:pPr>
        <w:spacing w:line="324" w:lineRule="auto" w:after="100"/>
        <w:ind w:firstLine="420"/>
      </w:pPr>
      <w:r>
        <w:rPr>
          <w:rFonts w:ascii="Times New Roman" w:hAnsi="Times New Roman" w:eastAsia="Noto Serif CJK SC"/>
          <w:b w:val="0"/>
          <w:sz w:val="22"/>
        </w:rPr>
        <w:t>在修复前隔离开发实例，将候选、最初部署模型和上一接纳模型置于相同完整输入及对应策略随机上下文下执行。分别检查碰撞、越界、停车、任务进度以及已成功端点的新增失效。一种配置要求长尾生成及自然生成开发集合上的安全计数均不增加、总进度不少于相应参考的98%，并要求长尾碰撞减少，或者档案中存在失效解除且无新增失效；该两种改善条件按预先规则择一成立。多候选通过时按预定排序选择。</w:t>
      </w:r>
    </w:p>
    <w:p>
      <w:pPr>
        <w:spacing w:line="324" w:lineRule="auto" w:after="100"/>
        <w:ind w:firstLine="420"/>
      </w:pPr>
      <w:r>
        <w:rPr>
          <w:rFonts w:ascii="Times New Roman" w:hAnsi="Times New Roman" w:eastAsia="Noto Serif CJK SC"/>
          <w:b w:val="0"/>
          <w:sz w:val="22"/>
        </w:rPr>
        <w:t>接纳后导出同一部署参数，并将新策略版本绑定到随后执行结果；未通过时恢复最近接纳版本的训练参数、部署滑动平均及优化器状态。通过开发规则表示该预定集合上的候选合格，最终留出实例用于独立评价，不参与标签构造或选择。</w:t>
      </w:r>
    </w:p>
    <w:p>
      <w:pPr>
        <w:spacing w:line="324" w:lineRule="auto" w:after="100"/>
        <w:ind w:firstLine="420"/>
      </w:pPr>
      <w:r>
        <w:rPr>
          <w:rFonts w:ascii="Times New Roman" w:hAnsi="Times New Roman" w:eastAsia="Noto Serif CJK SC"/>
          <w:b w:val="0"/>
          <w:sz w:val="22"/>
        </w:rPr>
        <w:t>下一轮依第4.4节恢复端点并重新建树。单分支可因达到条件层上限、完成终层提议或取得足额代表而结束；整轮按实际执行预算或预定任务完成条件停止。首次发现碰撞不使整轮自动结束，达到搜索深度上限也不判定该区域安全。实际调用总账包含独立采样、接受与拒绝提议、分支查询及轮首重测；专家候选和训练交互另行记录。</w:t>
      </w:r>
    </w:p>
    <w:p>
      <w:pPr>
        <w:spacing w:line="324" w:lineRule="auto" w:after="100"/>
        <w:ind w:firstLine="420"/>
      </w:pPr>
      <w:r>
        <w:rPr>
          <w:rFonts w:ascii="Times New Roman" w:hAnsi="Times New Roman" w:eastAsia="Noto Serif CJK SC"/>
          <w:b w:val="0"/>
          <w:sz w:val="22"/>
        </w:rPr>
        <w:t>最终交付包括固定世界参数及实例、分支与来源谱系、纠正和保持材料、接纳的ADS参数及其开发验证记录。调整的是世界输入搜索及驾驶模型，尾部标定、生成模型和响应参数在该次迭代期间保持固定，从而使同输入版本比较具有明确参照。</w:t>
      </w:r>
    </w:p>
    <w:p>
      <w:pPr>
        <w:pStyle w:val="Heading1"/>
        <w:keepNext/>
        <w:spacing w:before="240" w:after="140"/>
      </w:pPr>
      <w:r>
        <w:rPr>
          <w:rFonts w:ascii="Times New Roman" w:hAnsi="Times New Roman" w:eastAsia="Noto Serif CJK SC"/>
          <w:b/>
          <w:sz w:val="26"/>
        </w:rPr>
        <w:t>5 核心区别特征、协同作用与保护重点</w:t>
      </w:r>
    </w:p>
    <w:p>
      <w:pPr>
        <w:spacing w:line="324" w:lineRule="auto" w:after="100"/>
        <w:ind w:firstLine="420"/>
      </w:pPr>
      <w:r>
        <w:rPr>
          <w:rFonts w:ascii="Times New Roman" w:hAnsi="Times New Roman" w:eastAsia="Noto Serif CJK SC"/>
          <w:b w:val="0"/>
          <w:sz w:val="22"/>
        </w:rPr>
        <w:t>本发明的核心保护关系是：以自然驾驶尾部条件产生分层交通参考，显式保存可恢复的生成及响应变量；通过计划适用性和实际状态承接执行交互；在同一变量空间中开展分支条件搜索，形成受来源限制的失效代表及真实成功邻点；依据执行证据组织原生修复与能力保持，验证接纳后对相同输入重新执行，将持续失效及成功回归反馈到当前分支分配。各部分通过实例、执行来源和策略版本建立前后依赖。</w:t>
      </w:r>
    </w:p>
    <w:p>
      <w:pPr>
        <w:spacing w:line="324" w:lineRule="auto" w:after="100"/>
        <w:ind w:firstLine="420"/>
      </w:pPr>
      <w:r>
        <w:rPr>
          <w:rFonts w:ascii="Times New Roman" w:hAnsi="Times New Roman" w:eastAsia="Noto Serif CJK SC"/>
          <w:b w:val="0"/>
          <w:sz w:val="22"/>
        </w:rPr>
        <w:t>这种处理使生成模型的分层结构直接成为测试操作空间：改变结点用于改变中长期运动，改变残差用于改变局部计划，改变响应输入用于检验主车动作引起的交互后果。实际执行而非生成参考决定失效，成功纠正中的联合响应继续进入修正目标。修复后，世界参数固定而实际轨迹可随新策略变化，使输入变化与策略变化能够在记录中区分。</w:t>
      </w:r>
    </w:p>
    <w:p>
      <w:pPr>
        <w:spacing w:line="324" w:lineRule="auto" w:after="100"/>
        <w:ind w:firstLine="420"/>
      </w:pPr>
      <w:r>
        <w:rPr>
          <w:rFonts w:ascii="Times New Roman" w:hAnsi="Times New Roman" w:eastAsia="Noto Serif CJK SC"/>
          <w:b w:val="0"/>
          <w:sz w:val="22"/>
        </w:rPr>
        <w:t>分支独立推进和来源分散选样用于减少测试及训练被少数高风险来源支配；旧失效与旧成功的分别复测同时保留缺陷修复和行为回归信息。反馈最终控制后续实例执行，形成从风险事件到驾驶模型更新的连续技术过程。总体效果由第6节各环节证据与完整流程结果支持。</w:t>
      </w:r>
    </w:p>
    <w:p>
      <w:pPr>
        <w:spacing w:line="324" w:lineRule="auto" w:after="100"/>
        <w:ind w:firstLine="420"/>
      </w:pPr>
      <w:r>
        <w:rPr>
          <w:rFonts w:ascii="Times New Roman" w:hAnsi="Times New Roman" w:eastAsia="Noto Serif CJK SC"/>
          <w:b w:val="0"/>
          <w:sz w:val="22"/>
        </w:rPr>
        <w:t>拟保护的进一步技术内容集中在下列配合关系，具体操作同时写入实施方案及相应候选权利要求。</w:t>
      </w:r>
    </w:p>
    <w:tbl>
      <w:tblPr>
        <w:tblStyle w:val="TableGrid"/>
        <w:tblW w:type="auto" w:w="0"/>
        <w:jc w:val="center"/>
        <w:tblLayout w:type="fixed"/>
        <w:tblLook w:firstColumn="1" w:firstRow="1" w:lastColumn="0" w:lastRow="0" w:noHBand="0" w:noVBand="1" w:val="04A0"/>
      </w:tblPr>
      <w:tblGrid>
        <w:gridCol w:w="1757"/>
        <w:gridCol w:w="3969"/>
        <w:gridCol w:w="3515"/>
      </w:tblGrid>
      <w:tr>
        <w:trPr>
          <w:cantSplit/>
          <w:tblHeader/>
        </w:trPr>
        <w:tc>
          <w:tcPr>
            <w:tcW w:type="dxa" w:w="1757"/>
            <w:vAlign w:val="center"/>
            <w:shd w:fill="EEEEEE"/>
          </w:tcPr>
          <w:p>
            <w:pPr>
              <w:spacing w:after="80" w:before="80" w:line="276" w:lineRule="auto"/>
            </w:pPr>
            <w:r>
              <w:rPr>
                <w:rFonts w:ascii="Times New Roman" w:hAnsi="Times New Roman" w:eastAsia="Noto Serif CJK SC"/>
                <w:b/>
                <w:sz w:val="19"/>
              </w:rPr>
              <w:t>保护关系</w:t>
            </w:r>
          </w:p>
        </w:tc>
        <w:tc>
          <w:tcPr>
            <w:tcW w:type="dxa" w:w="3969"/>
            <w:vAlign w:val="center"/>
            <w:shd w:fill="EEEEEE"/>
          </w:tcPr>
          <w:p>
            <w:pPr>
              <w:spacing w:after="80" w:before="80" w:line="276" w:lineRule="auto"/>
            </w:pPr>
            <w:r>
              <w:rPr>
                <w:rFonts w:ascii="Times New Roman" w:hAnsi="Times New Roman" w:eastAsia="Noto Serif CJK SC"/>
                <w:b/>
                <w:sz w:val="19"/>
              </w:rPr>
              <w:t>共同限定的具体操作</w:t>
            </w:r>
          </w:p>
        </w:tc>
        <w:tc>
          <w:tcPr>
            <w:tcW w:type="dxa" w:w="3515"/>
            <w:vAlign w:val="center"/>
            <w:shd w:fill="EEEEEE"/>
          </w:tcPr>
          <w:p>
            <w:pPr>
              <w:spacing w:after="80" w:before="80" w:line="276" w:lineRule="auto"/>
            </w:pPr>
            <w:r>
              <w:rPr>
                <w:rFonts w:ascii="Times New Roman" w:hAnsi="Times New Roman" w:eastAsia="Noto Serif CJK SC"/>
                <w:b/>
                <w:sz w:val="19"/>
              </w:rPr>
              <w:t>对应技术作用</w:t>
            </w:r>
          </w:p>
        </w:tc>
      </w:tr>
      <w:tr>
        <w:trPr>
          <w:cantSplit/>
        </w:trPr>
        <w:tc>
          <w:tcPr>
            <w:tcW w:type="dxa" w:w="1757"/>
            <w:vAlign w:val="center"/>
          </w:tcPr>
          <w:p>
            <w:pPr>
              <w:spacing w:after="80" w:before="80" w:line="276" w:lineRule="auto"/>
            </w:pPr>
            <w:r>
              <w:rPr>
                <w:rFonts w:ascii="Times New Roman" w:hAnsi="Times New Roman" w:eastAsia="Noto Serif CJK SC"/>
                <w:b w:val="0"/>
                <w:sz w:val="19"/>
              </w:rPr>
              <w:t>分层参考与实际响应</w:t>
            </w:r>
          </w:p>
        </w:tc>
        <w:tc>
          <w:tcPr>
            <w:tcW w:type="dxa" w:w="3969"/>
            <w:vAlign w:val="center"/>
          </w:tcPr>
          <w:p>
            <w:pPr>
              <w:spacing w:after="80" w:before="80" w:line="276" w:lineRule="auto"/>
            </w:pPr>
            <w:r>
              <w:rPr>
                <w:rFonts w:ascii="Times New Roman" w:hAnsi="Times New Roman" w:eastAsia="Noto Serif CJK SC"/>
                <w:b w:val="0"/>
                <w:sz w:val="19"/>
              </w:rPr>
              <w:t>结点流确定长期位移，残差保持参考结点；按适用性从实际状态承接，区分取得控制权与已执行偏离控制</w:t>
            </w:r>
          </w:p>
        </w:tc>
        <w:tc>
          <w:tcPr>
            <w:tcW w:type="dxa" w:w="3515"/>
            <w:vAlign w:val="center"/>
          </w:tcPr>
          <w:p>
            <w:pPr>
              <w:spacing w:after="80" w:before="80" w:line="276" w:lineRule="auto"/>
            </w:pPr>
            <w:r>
              <w:rPr>
                <w:rFonts w:ascii="Times New Roman" w:hAnsi="Times New Roman" w:eastAsia="Noto Serif CJK SC"/>
                <w:b w:val="0"/>
                <w:sz w:val="19"/>
              </w:rPr>
              <w:t>同一世界既保留生成意图，又让真实动作后果进入周车预测及失效判定</w:t>
            </w:r>
          </w:p>
        </w:tc>
      </w:tr>
      <w:tr>
        <w:trPr>
          <w:cantSplit/>
        </w:trPr>
        <w:tc>
          <w:tcPr>
            <w:tcW w:type="dxa" w:w="1757"/>
            <w:vAlign w:val="center"/>
          </w:tcPr>
          <w:p>
            <w:pPr>
              <w:spacing w:after="80" w:before="80" w:line="276" w:lineRule="auto"/>
            </w:pPr>
            <w:r>
              <w:rPr>
                <w:rFonts w:ascii="Times New Roman" w:hAnsi="Times New Roman" w:eastAsia="Noto Serif CJK SC"/>
                <w:b w:val="0"/>
                <w:sz w:val="19"/>
              </w:rPr>
              <w:t>执行风险与条件提议</w:t>
            </w:r>
          </w:p>
        </w:tc>
        <w:tc>
          <w:tcPr>
            <w:tcW w:type="dxa" w:w="3969"/>
            <w:vAlign w:val="center"/>
          </w:tcPr>
          <w:p>
            <w:pPr>
              <w:spacing w:after="80" w:before="80" w:line="276" w:lineRule="auto"/>
            </w:pPr>
            <w:r>
              <w:rPr>
                <w:rFonts w:ascii="Times New Roman" w:hAnsi="Times New Roman" w:eastAsia="Noto Serif CJK SC"/>
                <w:b w:val="0"/>
                <w:sz w:val="19"/>
              </w:rPr>
              <w:t>前一层单组执行风险差更新选组概率，层内固定概率和车辆、时段范围，保持联合提议与分支接受条件</w:t>
            </w:r>
          </w:p>
        </w:tc>
        <w:tc>
          <w:tcPr>
            <w:tcW w:type="dxa" w:w="3515"/>
            <w:vAlign w:val="center"/>
          </w:tcPr>
          <w:p>
            <w:pPr>
              <w:spacing w:after="80" w:before="80" w:line="276" w:lineRule="auto"/>
            </w:pPr>
            <w:r>
              <w:rPr>
                <w:rFonts w:ascii="Times New Roman" w:hAnsi="Times New Roman" w:eastAsia="Noto Serif CJK SC"/>
                <w:b w:val="0"/>
                <w:sz w:val="19"/>
              </w:rPr>
              <w:t>把场景层次转为可操作的条件搜索，不依赖被测系统的可微接口</w:t>
            </w:r>
          </w:p>
        </w:tc>
      </w:tr>
      <w:tr>
        <w:trPr>
          <w:cantSplit/>
        </w:trPr>
        <w:tc>
          <w:tcPr>
            <w:tcW w:type="dxa" w:w="1757"/>
            <w:vAlign w:val="center"/>
          </w:tcPr>
          <w:p>
            <w:pPr>
              <w:spacing w:after="80" w:before="80" w:line="276" w:lineRule="auto"/>
            </w:pPr>
            <w:r>
              <w:rPr>
                <w:rFonts w:ascii="Times New Roman" w:hAnsi="Times New Roman" w:eastAsia="Noto Serif CJK SC"/>
                <w:b w:val="0"/>
                <w:sz w:val="19"/>
              </w:rPr>
              <w:t>当前分支与版本反馈</w:t>
            </w:r>
          </w:p>
        </w:tc>
        <w:tc>
          <w:tcPr>
            <w:tcW w:type="dxa" w:w="3969"/>
            <w:vAlign w:val="center"/>
          </w:tcPr>
          <w:p>
            <w:pPr>
              <w:spacing w:after="80" w:before="80" w:line="276" w:lineRule="auto"/>
            </w:pPr>
            <w:r>
              <w:rPr>
                <w:rFonts w:ascii="Times New Roman" w:hAnsi="Times New Roman" w:eastAsia="Noto Serif CJK SC"/>
                <w:b w:val="0"/>
                <w:sz w:val="19"/>
              </w:rPr>
              <w:t>相同外生输入重测两类旧端点，按当前划分分别归一化持续失效与回归，再按分配次数及权重选分支</w:t>
            </w:r>
          </w:p>
        </w:tc>
        <w:tc>
          <w:tcPr>
            <w:tcW w:type="dxa" w:w="3515"/>
            <w:vAlign w:val="center"/>
          </w:tcPr>
          <w:p>
            <w:pPr>
              <w:spacing w:after="80" w:before="80" w:line="276" w:lineRule="auto"/>
            </w:pPr>
            <w:r>
              <w:rPr>
                <w:rFonts w:ascii="Times New Roman" w:hAnsi="Times New Roman" w:eastAsia="Noto Serif CJK SC"/>
                <w:b w:val="0"/>
                <w:sz w:val="19"/>
              </w:rPr>
              <w:t>使后续实际调用对应当前模型尚未解决及新产生的问题</w:t>
            </w:r>
          </w:p>
        </w:tc>
      </w:tr>
      <w:tr>
        <w:trPr>
          <w:cantSplit/>
        </w:trPr>
        <w:tc>
          <w:tcPr>
            <w:tcW w:type="dxa" w:w="1757"/>
            <w:vAlign w:val="center"/>
          </w:tcPr>
          <w:p>
            <w:pPr>
              <w:spacing w:after="80" w:before="80" w:line="276" w:lineRule="auto"/>
            </w:pPr>
            <w:r>
              <w:rPr>
                <w:rFonts w:ascii="Times New Roman" w:hAnsi="Times New Roman" w:eastAsia="Noto Serif CJK SC"/>
                <w:b w:val="0"/>
                <w:sz w:val="19"/>
              </w:rPr>
              <w:t>记录来源与原生学习</w:t>
            </w:r>
          </w:p>
        </w:tc>
        <w:tc>
          <w:tcPr>
            <w:tcW w:type="dxa" w:w="3969"/>
            <w:vAlign w:val="center"/>
          </w:tcPr>
          <w:p>
            <w:pPr>
              <w:spacing w:after="80" w:before="80" w:line="276" w:lineRule="auto"/>
            </w:pPr>
            <w:r>
              <w:rPr>
                <w:rFonts w:ascii="Times New Roman" w:hAnsi="Times New Roman" w:eastAsia="Noto Serif CJK SC"/>
                <w:b w:val="0"/>
                <w:sz w:val="19"/>
              </w:rPr>
              <w:t>纠正目标取同次成功联合执行，成功保持对照对应冻结功能，实际未来掩码与完整扩散输入分别处理</w:t>
            </w:r>
          </w:p>
        </w:tc>
        <w:tc>
          <w:tcPr>
            <w:tcW w:type="dxa" w:w="3515"/>
            <w:vAlign w:val="center"/>
          </w:tcPr>
          <w:p>
            <w:pPr>
              <w:spacing w:after="80" w:before="80" w:line="276" w:lineRule="auto"/>
            </w:pPr>
            <w:r>
              <w:rPr>
                <w:rFonts w:ascii="Times New Roman" w:hAnsi="Times New Roman" w:eastAsia="Noto Serif CJK SC"/>
                <w:b w:val="0"/>
                <w:sz w:val="19"/>
              </w:rPr>
              <w:t>在有限交通记录中分别确定学习内容、功能参照及目标的有效范围</w:t>
            </w:r>
          </w:p>
        </w:tc>
      </w:tr>
    </w:tbl>
    <w:p>
      <w:pPr>
        <w:spacing w:line="324" w:lineRule="auto" w:after="0"/>
        <w:ind w:firstLine="0"/>
      </w:pPr>
    </w:p>
    <w:p>
      <w:pPr>
        <w:spacing w:line="324" w:lineRule="auto" w:after="100"/>
        <w:ind w:firstLine="420"/>
      </w:pPr>
      <w:r>
        <w:rPr>
          <w:rFonts w:ascii="Times New Roman" w:hAnsi="Times New Roman" w:eastAsia="Noto Serif CJK SC"/>
          <w:b w:val="0"/>
          <w:sz w:val="22"/>
        </w:rPr>
        <w:t>其中，参考生成和分组输入为分支搜索提供有结构的操作对象；响应执行为风险、标签和版本变化提供实际依据；修复接纳后重新建树，使反馈仍针对当前失效函数。将这些关系连在同一实例及版本记录上，才能把自然长尾扩充成可继续发现和修正的测试过程。EVT、Flow或扩散网络各自的通用形式作为实现基础，保护中心在其输出进入后续控制和学习的具体关系。</w:t>
      </w:r>
    </w:p>
    <w:p>
      <w:pPr>
        <w:spacing w:line="324" w:lineRule="auto" w:after="100"/>
        <w:ind w:firstLine="420"/>
      </w:pPr>
      <w:r>
        <w:rPr>
          <w:rFonts w:ascii="Times New Roman" w:hAnsi="Times New Roman" w:eastAsia="Noto Serif CJK SC"/>
          <w:b w:val="0"/>
          <w:sz w:val="22"/>
        </w:rPr>
        <w:t>从属保护可进一步限定Flow的条件分解、稀疏结点约束残差、完整误差轨迹支持的适用性判断、一次接管及机动承接、先验保持提议与层间冻结、分支检查及来源限制、按当前分支计算的复测反馈，以及不同ADS的原生目标。对应系统包括风险与场景建模、世界实例化、交互执行、分支搜索与档案、修正学习和候选验证模块，处理器按上述关系交换输入并调用仿真与训练接口。</w:t>
      </w:r>
    </w:p>
    <w:p>
      <w:pPr>
        <w:pStyle w:val="Heading1"/>
        <w:keepNext/>
        <w:spacing w:before="240" w:after="140"/>
      </w:pPr>
      <w:r>
        <w:rPr>
          <w:rFonts w:ascii="Times New Roman" w:hAnsi="Times New Roman" w:eastAsia="Noto Serif CJK SC"/>
          <w:b/>
          <w:sz w:val="26"/>
        </w:rPr>
        <w:t>6 工程实施与已有验证依据</w:t>
      </w:r>
    </w:p>
    <w:p>
      <w:pPr>
        <w:spacing w:line="324" w:lineRule="auto" w:after="100"/>
        <w:ind w:firstLine="420"/>
      </w:pPr>
      <w:r>
        <w:rPr>
          <w:rFonts w:ascii="Times New Roman" w:hAnsi="Times New Roman" w:eastAsia="Noto Serif CJK SC"/>
          <w:b w:val="0"/>
          <w:sz w:val="22"/>
        </w:rPr>
        <w:t>项目已有自然驾驶数据、概率生成、交互执行、搜索和ADS修复的完整工程链。自然片段含150个状态及149次物理转移，步长0.04秒；背景软参考覆盖5.96秒。所接入主车扩散规划器预测80个未来位置，间隔0.1秒，其8秒时域长于事件窗口，真实未来有效性因而直接参与目标构造。下面按各证据实际验证的对象说明，而不将模块重建结果代替ADS闭环结果。</w:t>
      </w:r>
    </w:p>
    <w:p>
      <w:pPr>
        <w:spacing w:line="324" w:lineRule="auto" w:after="100"/>
        <w:ind w:firstLine="420"/>
      </w:pPr>
      <w:r>
        <w:rPr>
          <w:rFonts w:ascii="Times New Roman" w:hAnsi="Times New Roman" w:eastAsia="Noto Serif CJK SC"/>
          <w:b w:val="0"/>
          <w:sz w:val="22"/>
        </w:rPr>
        <w:t>自然事件处理对96,055个片段统一标定风险尾部，取得2,964个尾部事件；该数量用于定义Flow拟合来源。Flow使用占位、初态和稀疏结点分解，尺寸另作经验采样。在目标尾部分布拟合检查中，256投影方向的切片Wasserstein距离为0.0615，所比较的Gaussian及八分量GMM分别为0.1332与0.1046；该结果说明本实施例对目标条件分布的拟合情况，录像级交叉验证另行保存。</w:t>
      </w:r>
    </w:p>
    <w:p>
      <w:pPr>
        <w:spacing w:line="324" w:lineRule="auto" w:after="100"/>
        <w:ind w:firstLine="420"/>
      </w:pPr>
      <w:r>
        <w:rPr>
          <w:rFonts w:ascii="Times New Roman" w:hAnsi="Times New Roman" w:eastAsia="Noto Serif CJK SC"/>
          <w:b w:val="0"/>
          <w:sz w:val="22"/>
        </w:rPr>
        <w:t>背景轨迹模型在完整自然Test的10,151个场景上评估，其中9,841个具有有效背景车目标，每个条件采样16次，单次样本平均位移误差约0.0527米。该评估给定真实稀疏结点，验证结点之间的条件重建；生成测试使用Flow采样结点，两者的条件来源分别记录。</w:t>
      </w:r>
    </w:p>
    <w:p>
      <w:pPr>
        <w:spacing w:line="324" w:lineRule="auto" w:after="100"/>
        <w:ind w:firstLine="420"/>
      </w:pPr>
      <w:r>
        <w:rPr>
          <w:rFonts w:ascii="Times New Roman" w:hAnsi="Times New Roman" w:eastAsia="Noto Serif CJK SC"/>
          <w:b w:val="0"/>
          <w:sz w:val="22"/>
        </w:rPr>
        <w:t>交互桥接的自然回放覆盖10,151个场景，三个随机实现各有7个场景触发接管；另有51个预选脚本干预案例、合计204回合，用于验证制动、跟驰变化、通道释放及机动承接。制动类包含9个案例的27个响应回合，其中15个配对回合解除纯跟踪时的碰撞，没有新增配对碰撞；15个回合包含相同案例的不同随机实现。该受控记录直接支持在主车制动后调整失去适用性的参考，属于交通响应验证。自然回放报告由既有全量执行及后续回归复用构成。CPU测试的8,493个物理步中，世界更新P99最大约8.59毫秒，未出现超过40毫秒物理步长的记录；该计时不包含ADS计算。</w:t>
      </w:r>
    </w:p>
    <w:p>
      <w:pPr>
        <w:spacing w:line="324" w:lineRule="auto" w:after="100"/>
        <w:ind w:firstLine="420"/>
      </w:pPr>
      <w:r>
        <w:rPr>
          <w:rFonts w:ascii="Times New Roman" w:hAnsi="Times New Roman" w:eastAsia="Noto Serif CJK SC"/>
          <w:b w:val="0"/>
          <w:sz w:val="22"/>
        </w:rPr>
        <w:t>首轮ADS发现比较采用相同初始Diffusion Planner及每方法5,000次实际调用。随机抽样、普通子集搜索与本实施例引导搜索的主搜索去重碰撞输入分别为160、215与450；排除初态碰撞后分别为158、212与449。本实施例的450项来自98个独立采样祖先，分支诊断的500次调用已计入总预算，其中19次碰撞不混入450项。结果支持定向发现效率，碰撞输入数不解释为独立失效域数量或先验事故概率。</w:t>
      </w:r>
    </w:p>
    <w:p>
      <w:pPr>
        <w:spacing w:line="324" w:lineRule="auto" w:after="100"/>
        <w:ind w:firstLine="420"/>
      </w:pPr>
      <w:r>
        <w:rPr>
          <w:rFonts w:ascii="Times New Roman" w:hAnsi="Times New Roman" w:eastAsia="Noto Serif CJK SC"/>
          <w:b w:val="0"/>
          <w:sz w:val="22"/>
        </w:rPr>
        <w:t>引导搜索首轮档案保留106个失效代表和9个成功邻点；修复材料实际包含27个专家来源及37个策略成功来源。下一轮对115个旧端点在新策略下重测，106个旧失效中43个解除、63个持续，9个旧成功中1个回归、8个保持成功。这些记录说明两类反馈在实际流程中均有处理对象，当前调度按端点在当前分支中的归属计算。</w:t>
      </w:r>
    </w:p>
    <w:p>
      <w:pPr>
        <w:spacing w:line="324" w:lineRule="auto" w:after="100"/>
        <w:ind w:firstLine="420"/>
      </w:pPr>
      <w:r>
        <w:rPr>
          <w:rFonts w:ascii="Times New Roman" w:hAnsi="Times New Roman" w:eastAsia="Noto Serif CJK SC"/>
          <w:b w:val="0"/>
          <w:sz w:val="22"/>
        </w:rPr>
        <w:t>开发准入接纳了500次更新候选：在两组各500个开发实例上，长尾生成与自然生成碰撞分别由20、10变为15、9；1,000次更新候选的对应计数为50、27，未被接纳。最终同一接纳模型在2,000个冻结长尾生成实例上的碰撞由61变为40。该结果属于搜索、材料、学习与准入的整体效果。两组自然评价的碰撞分别为76→80和41→37，按各自来源保留记录，不由长尾改善推定所有交通条件下均无回归。第二轮新候选未通过开发准入，最终仍保留首轮接纳参数。</w:t>
      </w:r>
    </w:p>
    <w:p>
      <w:pPr>
        <w:spacing w:line="324" w:lineRule="auto" w:after="100"/>
        <w:ind w:firstLine="420"/>
      </w:pPr>
      <w:r>
        <w:rPr>
          <w:rFonts w:ascii="Times New Roman" w:hAnsi="Times New Roman" w:eastAsia="Noto Serif CJK SC"/>
          <w:b w:val="0"/>
          <w:sz w:val="22"/>
        </w:rPr>
        <w:t>本实施例可替换条件流结构、残差生成器、驾驶响应模型或ADS学习算法，但应保留分层输入与完整实例的对应、基于实际行为的交通响应、分支组织及修复后同输入复测。已实现的强化学习接口提供另一种修复实施方式；当前量化整体效果以已完成的Diffusion Planner试验为依据。生成式世界的扩散模型与被修复的扩散规划器是不同对象，前者生成背景参考，后者输出主车计划。</w:t>
      </w:r>
    </w:p>
    <w:p>
      <w:pPr>
        <w:pStyle w:val="Heading1"/>
        <w:keepNext/>
        <w:spacing w:before="240" w:after="140"/>
      </w:pPr>
      <w:r>
        <w:rPr>
          <w:rFonts w:ascii="Times New Roman" w:hAnsi="Times New Roman" w:eastAsia="Noto Serif CJK SC"/>
          <w:b/>
          <w:sz w:val="26"/>
        </w:rPr>
        <w:t>7 附图说明与参考文献</w:t>
      </w:r>
    </w:p>
    <w:p>
      <w:pPr>
        <w:spacing w:line="324" w:lineRule="auto" w:after="100"/>
        <w:ind w:firstLine="420"/>
      </w:pPr>
      <w:r>
        <w:rPr>
          <w:rFonts w:ascii="Times New Roman" w:hAnsi="Times New Roman" w:eastAsia="Noto Serif CJK SC"/>
          <w:b w:val="0"/>
          <w:sz w:val="22"/>
        </w:rPr>
        <w:t>图1表示总体框架，图2表示分层生成及响应交接，图3与图4为已有脚本干预工程实例，图5表示分支搜索及修复反馈，图6表示原生学习和候选验证。图1、图2、图5、图6保留附图占位，后续绘制中文黑白逻辑图；图3、图4直接使用已有PNG，不另行仿真或补画结果。</w:t>
      </w:r>
    </w:p>
    <w:p>
      <w:pPr>
        <w:spacing w:line="264" w:lineRule="auto" w:after="80"/>
        <w:ind w:firstLine="0"/>
      </w:pPr>
      <w:r>
        <w:rPr>
          <w:rFonts w:ascii="Times New Roman" w:hAnsi="Times New Roman" w:eastAsia="Noto Serif CJK SC"/>
          <w:b w:val="0"/>
          <w:sz w:val="18"/>
        </w:rPr>
        <w:t>[1] Li T, Chen L, Wang C, et al. World Engine: Towards the Era of Post-Training for Autonomous Driving. arXiv:2606.19836v1，2026-06-18。</w:t>
      </w:r>
      <w:r>
        <w:rPr>
          <w:rFonts w:ascii="Times New Roman" w:hAnsi="Times New Roman" w:eastAsia="Noto Serif CJK SC"/>
          <w:b w:val="0"/>
          <w:sz w:val="18"/>
        </w:rPr>
        <w:t xml:space="preserve"> </w:t>
      </w:r>
      <w:hyperlink r:id="rId12">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[2] Chang W J, Pittaluga F, Tomizuka M, et al. Safe-Sim: Safety-Critical Closed-Loop Traffic Simulation with Diffusion-Controllable Adversaries. arXiv:2401.00391，核对2024-08-06的v3。</w:t>
      </w:r>
      <w:r>
        <w:rPr>
          <w:rFonts w:ascii="Times New Roman" w:hAnsi="Times New Roman" w:eastAsia="Noto Serif CJK SC"/>
          <w:b w:val="0"/>
          <w:sz w:val="18"/>
        </w:rPr>
        <w:t xml:space="preserve"> </w:t>
      </w:r>
      <w:hyperlink r:id="rId13">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[3] Li S, Ye N, Li T, et al. Optimization-Guided Diffusion for Interactive Scene Generation. arXiv:2512.07661v1，2025-12-08。</w:t>
      </w:r>
      <w:r>
        <w:rPr>
          <w:rFonts w:ascii="Times New Roman" w:hAnsi="Times New Roman" w:eastAsia="Noto Serif CJK SC"/>
          <w:b w:val="0"/>
          <w:sz w:val="18"/>
        </w:rPr>
        <w:t xml:space="preserve"> </w:t>
      </w:r>
      <w:hyperlink r:id="rId14">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[4] Xin H, Zhang X, Tang R, et al. LitSim: A Conflict-aware Policy for Long-term Interactive Traffic Simulation. arXiv:2403.04299，核对2024-05-01的v2。</w:t>
      </w:r>
      <w:r>
        <w:rPr>
          <w:rFonts w:ascii="Times New Roman" w:hAnsi="Times New Roman" w:eastAsia="Noto Serif CJK SC"/>
          <w:b w:val="0"/>
          <w:sz w:val="18"/>
        </w:rPr>
        <w:t xml:space="preserve"> </w:t>
      </w:r>
      <w:hyperlink r:id="rId15">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[5] Mendoza J P, Unnikrishnan R, Wahal S, et al. Selectively intelligent actors in simulations. WO2025090341A1，2025-05-01公开。</w:t>
      </w:r>
      <w:r>
        <w:rPr>
          <w:rFonts w:ascii="Times New Roman" w:hAnsi="Times New Roman" w:eastAsia="Noto Serif CJK SC"/>
          <w:b w:val="0"/>
          <w:sz w:val="18"/>
        </w:rPr>
        <w:t xml:space="preserve"> </w:t>
      </w:r>
      <w:hyperlink r:id="rId16">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[6] Kinnear H J, DiazDelaO F A. Niching subset simulation. Probabilistic Engineering Mechanics，2025，79：103729。</w:t>
      </w:r>
      <w:r>
        <w:rPr>
          <w:rFonts w:ascii="Times New Roman" w:hAnsi="Times New Roman" w:eastAsia="Noto Serif CJK SC"/>
          <w:b w:val="0"/>
          <w:sz w:val="18"/>
        </w:rPr>
        <w:t xml:space="preserve"> </w:t>
      </w:r>
      <w:hyperlink r:id="rId17">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[7] Tu J, Suo S, Zhang C, et al. Towards scalable coverage-based testing of autonomous vehicles. CoRL，2023。</w:t>
      </w:r>
      <w:r>
        <w:rPr>
          <w:rFonts w:ascii="Times New Roman" w:hAnsi="Times New Roman" w:eastAsia="Noto Serif CJK SC"/>
          <w:b w:val="0"/>
          <w:sz w:val="18"/>
        </w:rPr>
        <w:t xml:space="preserve"> </w:t>
      </w:r>
      <w:hyperlink r:id="rId18">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[8] Muehlenstaedt T, Nagy R, Poettner J. Automated Generation and Refinement of Variation Parameters for Simulation Scenarios. US20230222268A1，2023-07-13公开。</w:t>
      </w:r>
      <w:r>
        <w:rPr>
          <w:rFonts w:ascii="Times New Roman" w:hAnsi="Times New Roman" w:eastAsia="Noto Serif CJK SC"/>
          <w:b w:val="0"/>
          <w:sz w:val="18"/>
        </w:rPr>
        <w:t xml:space="preserve"> </w:t>
      </w:r>
      <w:hyperlink r:id="rId19">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[9] Hanselmann N, Renz K, Chitta K, et al. KING: Generating Safety-Critical Driving Scenarios for Robust Imitation via Kinematics Gradients. ECCV，2022。</w:t>
      </w:r>
      <w:r>
        <w:rPr>
          <w:rFonts w:ascii="Times New Roman" w:hAnsi="Times New Roman" w:eastAsia="Noto Serif CJK SC"/>
          <w:b w:val="0"/>
          <w:sz w:val="18"/>
        </w:rPr>
        <w:t xml:space="preserve"> </w:t>
      </w:r>
      <w:hyperlink r:id="rId20">
        <w:r>
          <w:rPr>
            <w:rFonts w:ascii="Times New Roman" w:hAnsi="Times New Roman"/>
            <w:sz w:val="18"/>
          </w:rPr>
          <w:t>原文链接</w:t>
        </w:r>
      </w:hyperlink>
    </w:p>
    <w:p>
      <w:pPr>
        <w:spacing w:line="324" w:lineRule="auto" w:after="100"/>
        <w:ind w:firstLine="420"/>
      </w:pPr>
      <w:r>
        <w:rPr>
          <w:rFonts w:ascii="Times New Roman" w:hAnsi="Times New Roman" w:eastAsia="Noto Serif CJK SC"/>
          <w:b/>
          <w:sz w:val="22"/>
        </w:rPr>
        <w:t>摘要建议稿</w:t>
      </w:r>
    </w:p>
    <w:p>
      <w:pPr>
        <w:spacing w:line="324" w:lineRule="auto" w:after="100"/>
        <w:ind w:firstLine="420"/>
      </w:pPr>
      <w:r>
        <w:rPr>
          <w:rFonts w:ascii="Times New Roman" w:hAnsi="Times New Roman" w:eastAsia="Noto Serif CJK SC"/>
          <w:b w:val="0"/>
          <w:sz w:val="22"/>
        </w:rPr>
        <w:t>本发明公开一种面向多失效域的自动驾驶交互测试与修复方法。由自然驾驶尾部事件建立条件分布，通过归一化流及条件残差扩散生成多车软参考，按计划适用性承接实际状态，并区分控制权与已执行响应；在可恢复生成及响应变量上，利用前层执行风险差确定并固定本层分组提议，分别推进风险分支，保存失效代表与真实成功邻点。按执行来源进行原生修复和功能保持，候选经闭环接纳后，在固定世界及相同外生输入下复测旧端点，按当前分支分别计算持续失效与成功回归并控制后续执行分配，实现长尾交互生成、多区域失效发现与驾驶模型修复的连续处理。</w:t>
      </w:r>
    </w:p>
    <w:sectPr w:rsidR="00FC693F" w:rsidRPr="0006063C" w:rsidSect="00034616">
      <w:footerReference w:type="default" r:id="rId9"/>
      <w:pgSz w:w="11906" w:h="16838"/>
      <w:pgMar w:top="1247"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html/2606.19836v1" TargetMode="External"/><Relationship Id="rId13" Type="http://schemas.openxmlformats.org/officeDocument/2006/relationships/hyperlink" Target="https://arxiv.org/html/2401.00391" TargetMode="External"/><Relationship Id="rId14" Type="http://schemas.openxmlformats.org/officeDocument/2006/relationships/hyperlink" Target="https://arxiv.org/html/2512.07661v1" TargetMode="External"/><Relationship Id="rId15" Type="http://schemas.openxmlformats.org/officeDocument/2006/relationships/hyperlink" Target="https://arxiv.org/html/2403.04299" TargetMode="External"/><Relationship Id="rId16" Type="http://schemas.openxmlformats.org/officeDocument/2006/relationships/hyperlink" Target="https://patents.google.com/patent/WO2025090341A1/en" TargetMode="External"/><Relationship Id="rId17" Type="http://schemas.openxmlformats.org/officeDocument/2006/relationships/hyperlink" Target="https://discovery.ucl.ac.uk/id/eprint/10204007/" TargetMode="External"/><Relationship Id="rId18" Type="http://schemas.openxmlformats.org/officeDocument/2006/relationships/hyperlink" Target="https://waabi.ai/research/guard" TargetMode="External"/><Relationship Id="rId19" Type="http://schemas.openxmlformats.org/officeDocument/2006/relationships/hyperlink" Target="https://patents.google.com/patent/US20230222268A1/en" TargetMode="External"/><Relationship Id="rId20" Type="http://schemas.openxmlformats.org/officeDocument/2006/relationships/hyperlink" Target="https://arxiv.org/html/2204.136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一种面向多失效域的自动驾驶交互测试与修复方法</dc:title>
  <dc:subject>技术交底书整体框架深化稿</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