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300"/>
        <w:ind w:firstLine="0"/>
        <w:jc w:val="center"/>
      </w:pPr>
      <w:r>
        <w:rPr>
          <w:rFonts w:ascii="Times New Roman" w:hAnsi="Times New Roman" w:eastAsia="Noto Serif CJK SC"/>
          <w:b/>
          <w:sz w:val="36"/>
        </w:rPr>
        <w:t>发明专利技术交底书</w:t>
      </w:r>
    </w:p>
    <w:tbl>
      <w:tblPr>
        <w:tblStyle w:val="TableGrid"/>
        <w:tblW w:type="auto" w:w="0"/>
        <w:jc w:val="center"/>
        <w:tblLayout w:type="fixed"/>
        <w:tblLook w:firstColumn="1" w:firstRow="1" w:lastColumn="0" w:lastRow="0" w:noHBand="0" w:noVBand="1" w:val="04A0"/>
      </w:tblPr>
      <w:tblGrid>
        <w:gridCol w:w="2154"/>
        <w:gridCol w:w="7087"/>
      </w:tblGrid>
      <w:tr>
        <w:trPr>
          <w:cantSplit/>
          <w:tblHeader/>
        </w:trPr>
        <w:tc>
          <w:tcPr>
            <w:tcW w:type="dxa" w:w="2154"/>
            <w:vAlign w:val="center"/>
            <w:shd w:fill="EEEEEE"/>
          </w:tcPr>
          <w:p>
            <w:pPr>
              <w:spacing w:after="80" w:before="80" w:line="276" w:lineRule="auto"/>
            </w:pPr>
            <w:r>
              <w:rPr>
                <w:rFonts w:ascii="Times New Roman" w:hAnsi="Times New Roman" w:eastAsia="Noto Serif CJK SC"/>
                <w:b/>
                <w:sz w:val="20"/>
              </w:rPr>
              <w:t>项目</w:t>
            </w:r>
          </w:p>
        </w:tc>
        <w:tc>
          <w:tcPr>
            <w:tcW w:type="dxa" w:w="7087"/>
            <w:vAlign w:val="center"/>
            <w:shd w:fill="EEEEEE"/>
          </w:tcPr>
          <w:p>
            <w:pPr>
              <w:spacing w:after="80" w:before="80" w:line="276" w:lineRule="auto"/>
            </w:pPr>
            <w:r>
              <w:rPr>
                <w:rFonts w:ascii="Times New Roman" w:hAnsi="Times New Roman" w:eastAsia="Noto Serif CJK SC"/>
                <w:b/>
                <w:sz w:val="20"/>
              </w:rPr>
              <w:t>内容</w:t>
            </w:r>
          </w:p>
        </w:tc>
      </w:tr>
      <w:tr>
        <w:trPr>
          <w:cantSplit/>
        </w:trPr>
        <w:tc>
          <w:tcPr>
            <w:tcW w:type="dxa" w:w="2154"/>
            <w:vAlign w:val="center"/>
          </w:tcPr>
          <w:p>
            <w:pPr>
              <w:spacing w:after="80" w:before="80" w:line="276" w:lineRule="auto"/>
            </w:pPr>
            <w:r>
              <w:rPr>
                <w:rFonts w:ascii="Times New Roman" w:hAnsi="Times New Roman" w:eastAsia="Noto Serif CJK SC"/>
                <w:b w:val="0"/>
                <w:sz w:val="20"/>
              </w:rPr>
              <w:t>专利名称</w:t>
            </w:r>
          </w:p>
        </w:tc>
        <w:tc>
          <w:tcPr>
            <w:tcW w:type="dxa" w:w="7087"/>
            <w:vAlign w:val="center"/>
          </w:tcPr>
          <w:p>
            <w:pPr>
              <w:spacing w:after="80" w:before="80" w:line="276" w:lineRule="auto"/>
            </w:pPr>
            <w:r>
              <w:rPr>
                <w:rFonts w:ascii="Times New Roman" w:hAnsi="Times New Roman" w:eastAsia="Noto Serif CJK SC"/>
                <w:b w:val="0"/>
                <w:sz w:val="20"/>
              </w:rPr>
              <w:t>一种自动驾驶扩散规划器的交互失效修正方法</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技术领域</w:t>
            </w:r>
          </w:p>
        </w:tc>
        <w:tc>
          <w:tcPr>
            <w:tcW w:type="dxa" w:w="7087"/>
            <w:vAlign w:val="center"/>
          </w:tcPr>
          <w:p>
            <w:pPr>
              <w:spacing w:after="80" w:before="80" w:line="276" w:lineRule="auto"/>
            </w:pPr>
            <w:r>
              <w:rPr>
                <w:rFonts w:ascii="Times New Roman" w:hAnsi="Times New Roman" w:eastAsia="Noto Serif CJK SC"/>
                <w:b w:val="0"/>
                <w:sz w:val="20"/>
              </w:rPr>
              <w:t>自动驾驶闭环仿真测试、轨迹规划及模型修正</w:t>
            </w:r>
          </w:p>
        </w:tc>
      </w:tr>
      <w:tr>
        <w:trPr>
          <w:cantSplit/>
        </w:trPr>
        <w:tc>
          <w:tcPr>
            <w:tcW w:type="dxa" w:w="2154"/>
            <w:vAlign w:val="center"/>
          </w:tcPr>
          <w:p>
            <w:pPr>
              <w:spacing w:after="80" w:before="80" w:line="276" w:lineRule="auto"/>
            </w:pPr>
            <w:r>
              <w:rPr>
                <w:rFonts w:ascii="Times New Roman" w:hAnsi="Times New Roman" w:eastAsia="Noto Serif CJK SC"/>
                <w:b w:val="0"/>
                <w:sz w:val="20"/>
              </w:rPr>
              <w:t>申请人</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发明人</w:t>
            </w:r>
          </w:p>
        </w:tc>
        <w:tc>
          <w:tcPr>
            <w:tcW w:type="dxa" w:w="7087"/>
            <w:vAlign w:val="center"/>
          </w:tcPr>
          <w:p>
            <w:pPr>
              <w:spacing w:after="80" w:before="80" w:line="276" w:lineRule="auto"/>
            </w:pPr>
            <w:r>
              <w:rPr>
                <w:rFonts w:ascii="Times New Roman" w:hAnsi="Times New Roman" w:eastAsia="Noto Serif CJK SC"/>
                <w:b w:val="0"/>
                <w:sz w:val="20"/>
              </w:rPr>
              <w:t>待依据本方案的实质贡献确认姓名及顺序</w:t>
            </w:r>
          </w:p>
        </w:tc>
      </w:tr>
      <w:tr>
        <w:trPr>
          <w:cantSplit/>
        </w:trPr>
        <w:tc>
          <w:tcPr>
            <w:tcW w:type="dxa" w:w="2154"/>
            <w:vAlign w:val="center"/>
          </w:tcPr>
          <w:p>
            <w:pPr>
              <w:spacing w:after="80" w:before="80" w:line="276" w:lineRule="auto"/>
            </w:pPr>
            <w:r>
              <w:rPr>
                <w:rFonts w:ascii="Times New Roman" w:hAnsi="Times New Roman" w:eastAsia="Noto Serif CJK SC"/>
                <w:b w:val="0"/>
                <w:sz w:val="20"/>
              </w:rPr>
              <w:t>交底书撰写人</w:t>
            </w:r>
          </w:p>
        </w:tc>
        <w:tc>
          <w:tcPr>
            <w:tcW w:type="dxa" w:w="7087"/>
            <w:vAlign w:val="center"/>
          </w:tcPr>
          <w:p>
            <w:pPr>
              <w:spacing w:after="80" w:before="80" w:line="276" w:lineRule="auto"/>
            </w:pPr>
            <w:r>
              <w:rPr>
                <w:rFonts w:ascii="Times New Roman" w:hAnsi="Times New Roman" w:eastAsia="Noto Serif CJK SC"/>
                <w:b w:val="0"/>
                <w:sz w:val="20"/>
              </w:rPr>
              <w:t>蒋拯民</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技术联系人及联系方式</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文稿日期</w:t>
            </w:r>
          </w:p>
        </w:tc>
        <w:tc>
          <w:tcPr>
            <w:tcW w:type="dxa" w:w="7087"/>
            <w:vAlign w:val="center"/>
          </w:tcPr>
          <w:p>
            <w:pPr>
              <w:spacing w:after="80" w:before="80" w:line="276" w:lineRule="auto"/>
            </w:pPr>
            <w:r>
              <w:rPr>
                <w:rFonts w:ascii="Times New Roman" w:hAnsi="Times New Roman" w:eastAsia="Noto Serif CJK SC"/>
                <w:b w:val="0"/>
                <w:sz w:val="20"/>
              </w:rPr>
              <w:t>2026年10月25日；聚焦复核稿</w:t>
            </w:r>
          </w:p>
        </w:tc>
      </w:tr>
    </w:tbl>
    <w:p>
      <w:pPr>
        <w:spacing w:line="324" w:lineRule="auto" w:after="0"/>
        <w:ind w:firstLine="0"/>
      </w:pPr>
    </w:p>
    <w:p>
      <w:pPr>
        <w:pStyle w:val="Heading1"/>
        <w:keepNext/>
        <w:spacing w:before="240" w:after="140"/>
      </w:pPr>
      <w:r>
        <w:rPr>
          <w:rFonts w:ascii="Times New Roman" w:hAnsi="Times New Roman" w:eastAsia="Noto Serif CJK SC"/>
          <w:b/>
          <w:sz w:val="26"/>
        </w:rPr>
        <w:t>1 技术领域与所要解决的技术问题</w:t>
      </w:r>
    </w:p>
    <w:p>
      <w:pPr>
        <w:spacing w:line="324" w:lineRule="auto" w:after="100"/>
        <w:ind w:firstLine="420"/>
      </w:pPr>
      <w:r>
        <w:rPr>
          <w:rFonts w:ascii="Times New Roman" w:hAnsi="Times New Roman" w:eastAsia="Noto Serif CJK SC"/>
          <w:b w:val="0"/>
          <w:sz w:val="22"/>
        </w:rPr>
        <w:t>本发明涉及自动驾驶仿真测试与驾驶模型训练，具体涉及一种将交互式测试中发现的失效转化为自动驾驶扩散规划器修正材料的方法。测试设备恢复交通实例，在背景车辆能够响应主车行为的环境中确认失效，验证可执行的纠正行为，并依据执行来源及可观测未来构造训练输入和学习目标，得到经闭环验证的修正规划器。</w:t>
      </w:r>
    </w:p>
    <w:p>
      <w:pPr>
        <w:spacing w:line="324" w:lineRule="auto" w:after="100"/>
        <w:ind w:firstLine="420"/>
      </w:pPr>
      <w:r>
        <w:rPr>
          <w:rFonts w:ascii="Times New Roman" w:hAnsi="Times New Roman" w:eastAsia="Noto Serif CJK SC"/>
          <w:b w:val="0"/>
          <w:sz w:val="22"/>
        </w:rPr>
        <w:t>自动驾驶测试的结果需要进一步服务于驾驶策略改进。发生碰撞的场景提供了缺陷发生的条件，但不能直接提供应当采取的动作；相邻场景中的一次成功，也不能替代对原失效条件的纠正验证。在交互交通中，主车采取另一种行为后，背景车辆会形成新的响应，纠正轨迹与其周车未来应当共同来自该次实际执行。</w:t>
      </w:r>
    </w:p>
    <w:p>
      <w:pPr>
        <w:spacing w:line="324" w:lineRule="auto" w:after="100"/>
        <w:ind w:firstLine="420"/>
      </w:pPr>
      <w:r>
        <w:rPr>
          <w:rFonts w:ascii="Times New Roman" w:hAnsi="Times New Roman" w:eastAsia="Noto Serif CJK SC"/>
          <w:b w:val="0"/>
          <w:sz w:val="22"/>
        </w:rPr>
        <w:t>扩散规划器还存在另一项处理要求：规划器输出是给定交通观测与随机输入下的未来运动预测，车辆实际运动则受到轨迹跟踪、控制限幅、滚动重规划和交通响应共同影响。即使某次实际执行成功，物理轨迹也不必等于原规划器在单次决策中输出的完整计划。修正时需要明确，哪些材料提供新的纠正目标，哪些材料用于保持原规划器已经有效的功能。</w:t>
      </w:r>
    </w:p>
    <w:p>
      <w:pPr>
        <w:spacing w:line="324" w:lineRule="auto" w:after="100"/>
        <w:ind w:firstLine="420"/>
      </w:pPr>
      <w:r>
        <w:rPr>
          <w:rFonts w:ascii="Times New Roman" w:hAnsi="Times New Roman" w:eastAsia="Noto Serif CJK SC"/>
          <w:b w:val="0"/>
          <w:sz w:val="22"/>
        </w:rPr>
        <w:t>交通仿真窗口与规划器预测时域也可能不同。一个短时交通事件只能提供部分未来，而原有扩散网络仍按固定长度的联合轨迹输入运行。将窗口之外的填充值当作未来真值，会形成不受实际执行支持的监督；在屏蔽损失的同时把相应带噪输入清零，又会改变原有去噪器所接收的输入形式。</w:t>
      </w:r>
    </w:p>
    <w:p>
      <w:pPr>
        <w:spacing w:line="324" w:lineRule="auto" w:after="100"/>
        <w:ind w:firstLine="420"/>
      </w:pPr>
      <w:r>
        <w:rPr>
          <w:rFonts w:ascii="Times New Roman" w:hAnsi="Times New Roman" w:eastAsia="Noto Serif CJK SC"/>
          <w:b w:val="0"/>
          <w:sz w:val="22"/>
        </w:rPr>
        <w:t>本发明所要解决的技术问题是：在交通事件的执行窗口短于规划器预测时域的条件下，如何将失效纠正记录和原策略成功记录转换为含义明确的扩散训练目标，使前者用于学习经交互验证的替代行为，后者用于约束对应规划器的输出变化，并使两类目标均限于实际记录支持的未来范围。</w:t>
      </w:r>
    </w:p>
    <w:p>
      <w:pPr>
        <w:pStyle w:val="Heading1"/>
        <w:keepNext/>
        <w:spacing w:before="240" w:after="140"/>
      </w:pPr>
      <w:r>
        <w:rPr>
          <w:rFonts w:ascii="Times New Roman" w:hAnsi="Times New Roman" w:eastAsia="Noto Serif CJK SC"/>
          <w:b/>
          <w:sz w:val="26"/>
        </w:rPr>
        <w:t>2 技术背景与相近方案</w:t>
      </w:r>
    </w:p>
    <w:p>
      <w:pPr>
        <w:spacing w:line="324" w:lineRule="auto" w:after="100"/>
        <w:ind w:firstLine="420"/>
      </w:pPr>
      <w:r>
        <w:rPr>
          <w:rFonts w:ascii="Times New Roman" w:hAnsi="Times New Roman" w:eastAsia="Noto Serif CJK SC"/>
          <w:b w:val="0"/>
          <w:sz w:val="22"/>
        </w:rPr>
        <w:t>KING生成安全关键场景，由规则专家筛选能够安全通过的实例，再将专家样本与原训练数据混合微调[1]。该方法与本发明均利用危险测试取得训练材料，是分析测试后修正流程的直接参照。Reflect-VLA进一步按照轨迹评价结果选择学习目标：可靠轨迹采用自模仿，风险轨迹接受带纠正指导的教师分布[2]。因此，危险场景再训练以及按执行结果选择学习目标均已有技术基础。</w:t>
      </w:r>
    </w:p>
    <w:p>
      <w:pPr>
        <w:spacing w:line="324" w:lineRule="auto" w:after="100"/>
        <w:ind w:firstLine="420"/>
      </w:pPr>
      <w:r>
        <w:rPr>
          <w:rFonts w:ascii="Times New Roman" w:hAnsi="Times New Roman" w:eastAsia="Noto Serif CJK SC"/>
          <w:b w:val="0"/>
          <w:sz w:val="22"/>
        </w:rPr>
        <w:t>在扩散规划器的闭环更新方面，GRID-Planner根据关系奖励及优势加权去噪损失，并将多候选中回报较高的轨迹蒸馏给学生模型[3]。相关专利也已考虑训练记录的不同含义：US20250171046A1区分模型逐时生成的计划、实际行驶路径及驾驶员轨迹，利用其差异和偏好关系修正车辆模型[4]；CN121404308A利用仿真栈生成恢复轨迹，再训练神经运动规划器[5]。这些公开内容表明，纠正轨迹、原版本参照和执行反馈本身均应作为已有技术处理。</w:t>
      </w:r>
    </w:p>
    <w:p>
      <w:pPr>
        <w:spacing w:line="324" w:lineRule="auto" w:after="100"/>
        <w:ind w:firstLine="420"/>
      </w:pPr>
      <w:r>
        <w:rPr>
          <w:rFonts w:ascii="Times New Roman" w:hAnsi="Times New Roman" w:eastAsia="Noto Serif CJK SC"/>
          <w:b w:val="0"/>
          <w:sz w:val="22"/>
        </w:rPr>
        <w:t>本发明围绕短时交互记录进入固定时域扩散规划器时的目标构造展开。其具体处理是：在原失效条件下验证纠正行为，使主车及周车目标来自同一次响应式执行；对原策略成功记录，保存实际未来用于构造带噪输入，以产生该成功行为的冻结版本在同输入下的去噪输出作为保持目标；对两类记录均按实际未来建立有效性掩码，先处理干净轨迹的无效位置，再在完整预测窗口内加噪，仅在有效位置计算相应目标误差。上述关系将执行记录的来源和时域落实到学习计算中。</w:t>
      </w:r>
    </w:p>
    <w:p>
      <w:pPr>
        <w:spacing w:line="324" w:lineRule="auto" w:after="100"/>
        <w:ind w:firstLine="420"/>
      </w:pPr>
      <w:r>
        <w:rPr>
          <w:rFonts w:ascii="Times New Roman" w:hAnsi="Times New Roman" w:eastAsia="Noto Serif CJK SC"/>
          <w:b w:val="0"/>
          <w:sz w:val="22"/>
        </w:rPr>
        <w:t>本实施例接入的Diffusion Planner采用联合预测与规划结构[6]。该网络及其原生扩散过程是本方法的实施基础，修正后的参数仍通过其原推断接口输出主车计划。</w:t>
      </w:r>
    </w:p>
    <w:p>
      <w:pPr>
        <w:pStyle w:val="Heading1"/>
        <w:keepNext/>
        <w:spacing w:before="240" w:after="140"/>
      </w:pPr>
      <w:r>
        <w:rPr>
          <w:rFonts w:ascii="Times New Roman" w:hAnsi="Times New Roman" w:eastAsia="Noto Serif CJK SC"/>
          <w:b/>
          <w:sz w:val="26"/>
        </w:rPr>
        <w:t>3 发明构思与总体方案</w:t>
      </w:r>
    </w:p>
    <w:p>
      <w:pPr>
        <w:spacing w:line="324" w:lineRule="auto" w:after="100"/>
        <w:ind w:firstLine="420"/>
      </w:pPr>
      <w:r>
        <w:rPr>
          <w:rFonts w:ascii="Times New Roman" w:hAnsi="Times New Roman" w:eastAsia="Noto Serif CJK SC"/>
          <w:b w:val="0"/>
          <w:sz w:val="22"/>
        </w:rPr>
        <w:t>本发明以执行来源和实际未来范围决定训练样本的用途。对失效实例，验证另一主车行为；验证合格后，从同次执行中提取主车及周车联合未来，形成纠正样本。对部署策略的成功执行，保留其轨迹、观测和策略版本，形成保持样本。每个样本均保存执行来源、决策时刻的因果观测、实际联合未来及其有效性；保持样本同时关联产生该成功行为的冻结规划器。</w:t>
      </w:r>
    </w:p>
    <w:p>
      <w:pPr>
        <w:spacing w:line="324" w:lineRule="auto" w:after="100"/>
        <w:ind w:firstLine="420"/>
      </w:pPr>
      <w:r>
        <w:rPr>
          <w:rFonts w:ascii="Times New Roman" w:hAnsi="Times New Roman" w:eastAsia="Noto Serif CJK SC"/>
          <w:b w:val="0"/>
          <w:sz w:val="22"/>
        </w:rPr>
        <w:t>两类样本先转换为原网络固定长度的带噪输入。纠正样本在有效位置拟合经验证的联合未来；保持样本在有效位置拟合对应冻结模型接收同一观测、带噪轨迹和扩散时刻时的输出。由此，来源决定目标取自实际纠正轨迹还是原模型，执行时域决定在哪些输出位置计算误差，带噪输入则为两类目标提供相同形式的训练接口。学习器在原网络内更新预定参数，再通过预先隔离的闭环开发实例选择可接纳候选。</w:t>
      </w:r>
    </w:p>
    <w:p>
      <w:pPr>
        <w:spacing w:line="324" w:lineRule="auto" w:after="100"/>
        <w:ind w:firstLine="420"/>
      </w:pPr>
      <w:r>
        <w:rPr>
          <w:rFonts w:ascii="Times New Roman" w:hAnsi="Times New Roman" w:eastAsia="Noto Serif CJK SC"/>
          <w:b w:val="0"/>
          <w:sz w:val="22"/>
        </w:rPr>
        <w:t>本方法的输入是已经形成的交互测试实例与可执行规划器。风险分层搜索、自然事件库或其他场景生成器均可提供实例；生成模型在本次修正期间保持固定。方法的输出是可直接替换原模型的规划器参数及其对应修正材料和验证记录。图1说明从测试结果到训练目标的主要数据关系。</w:t>
      </w:r>
    </w:p>
    <w:p>
      <w:pPr>
        <w:keepNext/>
        <w:spacing w:line="324" w:lineRule="auto" w:after="100"/>
        <w:ind w:firstLine="0"/>
        <w:jc w:val="center"/>
      </w:pPr>
      <w:r>
        <w:rPr>
          <w:rFonts w:ascii="Times New Roman" w:hAnsi="Times New Roman" w:eastAsia="Noto Serif CJK SC"/>
          <w:b/>
          <w:sz w:val="22"/>
        </w:rPr>
        <w:t>图1 交互失效修正的总体流程（附图占位）</w:t>
      </w:r>
    </w:p>
    <w:p>
      <w:pPr>
        <w:spacing w:line="324" w:lineRule="auto" w:after="100"/>
        <w:ind w:firstLine="420"/>
      </w:pPr>
      <w:r>
        <w:rPr>
          <w:rFonts w:ascii="Times New Roman" w:hAnsi="Times New Roman" w:eastAsia="Noto Serif CJK SC"/>
          <w:b w:val="0"/>
          <w:sz w:val="22"/>
        </w:rPr>
        <w:t>绘制交互测试、结果判定、纠正验证、成功行为保留、样本编码、来源对应的目标计算、局部参数更新及候选闭环验证。失效分支进入纠正验证，原策略成功分支进入功能保持；两分支均向样本编码传递观测、联合轨迹、有效时域与来源版本。闭环验证连接候选接纳及参数恢复。</w:t>
      </w:r>
    </w:p>
    <w:p>
      <w:pPr>
        <w:pStyle w:val="Heading1"/>
        <w:keepNext/>
        <w:spacing w:before="240" w:after="140"/>
      </w:pPr>
      <w:r>
        <w:rPr>
          <w:rFonts w:ascii="Times New Roman" w:hAnsi="Times New Roman" w:eastAsia="Noto Serif CJK SC"/>
          <w:b/>
          <w:sz w:val="26"/>
        </w:rPr>
        <w:t>4 技术方案的具体实施方式</w:t>
      </w:r>
    </w:p>
    <w:p>
      <w:pPr>
        <w:pStyle w:val="Heading2"/>
        <w:keepNext/>
        <w:spacing w:before="160" w:after="100"/>
      </w:pPr>
      <w:r>
        <w:rPr>
          <w:rFonts w:ascii="Times New Roman" w:hAnsi="Times New Roman" w:eastAsia="Noto Serif CJK SC"/>
          <w:b/>
          <w:sz w:val="23"/>
        </w:rPr>
        <w:t>4.1 可恢复交通实例及纠正资格</w:t>
      </w:r>
    </w:p>
    <w:p>
      <w:pPr>
        <w:spacing w:line="324" w:lineRule="auto" w:after="100"/>
        <w:ind w:firstLine="420"/>
      </w:pPr>
      <w:r>
        <w:rPr>
          <w:rFonts w:ascii="Times New Roman" w:hAnsi="Times New Roman" w:eastAsia="Noto Serif CJK SC"/>
          <w:b w:val="0"/>
          <w:sz w:val="22"/>
        </w:rPr>
        <w:t>测试设备包括处理器、存储器、交通仿真接口以及扩散规划器训练接口。输入交通实例由固定事件</w:t>
      </w:r>
      <m:oMath>
        <m:r>
          <m:rPr>
            <m:sty m:val="i"/>
          </m:rPr>
          <w:rPr>
            <w:rFonts w:ascii="Cambria Math" w:hAnsi="Cambria Math"/>
            <w:sz w:val="22"/>
          </w:rPr>
          <m:t>e</m:t>
        </m:r>
      </m:oMath>
      <w:r>
        <w:rPr>
          <w:rFonts w:ascii="Times New Roman" w:hAnsi="Times New Roman" w:eastAsia="Noto Serif CJK SC"/>
          <w:b w:val="0"/>
          <w:sz w:val="22"/>
        </w:rPr>
        <w:t>及外生环境输入</w:t>
      </w:r>
      <m:oMath>
        <m:r>
          <m:rPr>
            <m:sty m:val="i"/>
          </m:rPr>
          <w:rPr>
            <w:rFonts w:ascii="Cambria Math" w:hAnsi="Cambria Math"/>
            <w:sz w:val="22"/>
          </w:rPr>
          <m:t>ω</m:t>
        </m:r>
      </m:oMath>
      <w:r>
        <w:rPr>
          <w:rFonts w:ascii="Times New Roman" w:hAnsi="Times New Roman" w:eastAsia="Noto Serif CJK SC"/>
          <w:b w:val="0"/>
          <w:sz w:val="22"/>
        </w:rPr>
        <w:t>组成。固定事件保存道路、参与车辆的稳定身份与尺寸、初始状态、有效历史和任务要求；外生输入保存背景参考、驾驶员及机动参数、逐车逐时的响应随机量。当前已部署规划器记为</w:t>
      </w:r>
      <m:oMath>
        <m:sSub>
          <m:e>
            <m:r>
              <m:rPr>
                <m:sty m:val="i"/>
              </m:rPr>
              <w:rPr>
                <w:rFonts w:ascii="Cambria Math" w:hAnsi="Cambria Math"/>
                <w:sz w:val="22"/>
              </w:rPr>
              <m:t>π</m:t>
            </m:r>
          </m:e>
          <m:sub>
            <m:r>
              <m:rPr>
                <m:sty m:val="i"/>
              </m:rPr>
              <w:rPr>
                <w:rFonts w:ascii="Cambria Math" w:hAnsi="Cambria Math"/>
                <w:sz w:val="22"/>
              </w:rPr>
              <m:t>a</m:t>
            </m:r>
          </m:sub>
        </m:sSub>
      </m:oMath>
      <w:r>
        <w:rPr>
          <w:rFonts w:ascii="Times New Roman" w:hAnsi="Times New Roman" w:eastAsia="Noto Serif CJK SC"/>
          <w:b w:val="0"/>
          <w:sz w:val="22"/>
        </w:rPr>
        <w:t>，执行器与世界配置记为</w:t>
      </w:r>
      <m:oMath>
        <m:r>
          <m:rPr>
            <m:sty m:val="i"/>
          </m:rPr>
          <w:rPr>
            <w:rFonts w:ascii="Cambria Math" w:hAnsi="Cambria Math"/>
            <w:sz w:val="22"/>
          </w:rPr>
          <m:t>ϑ</m:t>
        </m:r>
      </m:oMath>
      <w:r>
        <w:rPr>
          <w:rFonts w:ascii="Times New Roman" w:hAnsi="Times New Roman" w:eastAsia="Noto Serif CJK SC"/>
          <w:b w:val="0"/>
          <w:sz w:val="22"/>
        </w:rPr>
        <w:t>，闭环执行表示为：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τ</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ϑ</m:t>
            </m:r>
          </m:sub>
        </m:sSub>
        <m:r>
          <m:rPr>
            <m:sty m:val="p"/>
          </m:rPr>
          <w:rPr>
            <w:rFonts w:ascii="Cambria Math" w:hAnsi="Cambria Math"/>
            <w:sz w:val="22"/>
          </w:rPr>
          <m:t>(</m:t>
        </m:r>
        <m:r>
          <m:rPr>
            <m:sty m:val="i"/>
          </m:rPr>
          <w:rPr>
            <w:rFonts w:ascii="Cambria Math" w:hAnsi="Cambria Math"/>
            <w:sz w:val="22"/>
          </w:rPr>
          <m:t>e</m:t>
        </m:r>
        <m:r>
          <m:rPr>
            <m:sty m:val="p"/>
          </m:rPr>
          <w:rPr>
            <w:rFonts w:ascii="Cambria Math" w:hAnsi="Cambria Math"/>
            <w:sz w:val="22"/>
          </w:rPr>
          <m:t>,</m:t>
        </m:r>
        <m:r>
          <m:rPr>
            <m:sty m:val="i"/>
          </m:rPr>
          <w:rPr>
            <w:rFonts w:ascii="Cambria Math" w:hAnsi="Cambria Math"/>
            <w:sz w:val="22"/>
          </w:rPr>
          <m:t>ω</m:t>
        </m:r>
        <m:r>
          <m:rPr>
            <m:sty m:val="i"/>
          </m:rPr>
          <w:rPr>
            <w:rFonts w:ascii="Cambria Math" w:hAnsi="Cambria Math"/>
            <w:sz w:val="22"/>
          </w:rPr>
          <m:t>;</m:t>
        </m:r>
        <m:sSub>
          <m:e>
            <m:r>
              <m:rPr>
                <m:sty m:val="i"/>
              </m:rPr>
              <w:rPr>
                <w:rFonts w:ascii="Cambria Math" w:hAnsi="Cambria Math"/>
                <w:sz w:val="22"/>
              </w:rPr>
              <m:t>π</m:t>
            </m:r>
          </m:e>
          <m:sub>
            <m:r>
              <m:rPr>
                <m:sty m:val="i"/>
              </m:rPr>
              <w:rPr>
                <w:rFonts w:ascii="Cambria Math" w:hAnsi="Cambria Math"/>
                <w:sz w:val="22"/>
              </w:rPr>
              <m:t>a</m:t>
            </m:r>
          </m:sub>
        </m:sSub>
        <m:r>
          <m:rPr>
            <m:sty m:val="p"/>
          </m:rPr>
          <w:rPr>
            <w:rFonts w:ascii="Cambria Math" w:hAnsi="Cambria Math"/>
            <w:sz w:val="22"/>
          </w:rPr>
          <m:t>)</m:t>
        </m:r>
      </m:oMath>
      <w:r>
        <w:rPr>
          <w:rFonts w:ascii="Times New Roman" w:hAnsi="Times New Roman" w:eastAsia="Noto Serif CJK SC"/>
          <w:b w:val="0"/>
          <w:sz w:val="20"/>
        </w:rPr>
        <w:tab/>
        <w:t>（1）</w:t>
      </w:r>
    </w:p>
    <w:p>
      <w:pPr>
        <w:spacing w:line="324" w:lineRule="auto" w:after="100"/>
        <w:ind w:firstLine="420"/>
      </w:pPr>
      <w:r>
        <w:rPr>
          <w:rFonts w:ascii="Times New Roman" w:hAnsi="Times New Roman" w:eastAsia="Noto Serif CJK SC"/>
          <w:b w:val="0"/>
          <w:sz w:val="22"/>
        </w:rPr>
        <w:t>式（1）中，</w:t>
      </w:r>
      <m:oMath>
        <m:sSub>
          <m:e>
            <m:r>
              <m:rPr>
                <m:sty m:val="i"/>
              </m:rPr>
              <w:rPr>
                <w:rFonts w:ascii="Cambria Math" w:hAnsi="Cambria Math"/>
                <w:sz w:val="22"/>
              </w:rPr>
              <m:t>S</m:t>
            </m:r>
          </m:e>
          <m:sub>
            <m:r>
              <m:rPr>
                <m:sty m:val="i"/>
              </m:rPr>
              <w:rPr>
                <w:rFonts w:ascii="Cambria Math" w:hAnsi="Cambria Math"/>
                <w:sz w:val="22"/>
              </w:rPr>
              <m:t>ϑ</m:t>
            </m:r>
          </m:sub>
        </m:sSub>
      </m:oMath>
      <w:r>
        <w:rPr>
          <w:rFonts w:ascii="Times New Roman" w:hAnsi="Times New Roman" w:eastAsia="Noto Serif CJK SC"/>
          <w:b w:val="0"/>
          <w:sz w:val="22"/>
        </w:rPr>
        <w:t>为交通闭环执行映射，</w:t>
      </w:r>
      <m:oMath>
        <m:r>
          <m:rPr>
            <m:sty m:val="i"/>
          </m:rPr>
          <w:rPr>
            <w:rFonts w:ascii="Cambria Math" w:hAnsi="Cambria Math"/>
            <w:sz w:val="22"/>
          </w:rPr>
          <m:t>τ</m:t>
        </m:r>
      </m:oMath>
      <w:r>
        <w:rPr>
          <w:rFonts w:ascii="Times New Roman" w:hAnsi="Times New Roman" w:eastAsia="Noto Serif CJK SC"/>
          <w:b w:val="0"/>
          <w:sz w:val="22"/>
        </w:rPr>
        <w:t>为主车与全部有效背景车辆的实际联合轨迹。失效判定基于实际碰撞或预先确定的安全要求，停车和任务进度同时记录。数值异常、非法初始条件及未完成执行另行保存；未完成执行不得标记为成功。</w:t>
      </w:r>
    </w:p>
    <w:p>
      <w:pPr>
        <w:spacing w:line="324" w:lineRule="auto" w:after="100"/>
        <w:ind w:firstLine="420"/>
      </w:pPr>
      <w:r>
        <w:rPr>
          <w:rFonts w:ascii="Times New Roman" w:hAnsi="Times New Roman" w:eastAsia="Noto Serif CJK SC"/>
          <w:b w:val="0"/>
          <w:sz w:val="22"/>
        </w:rPr>
        <w:t>背景车辆依据主车造成的实际交通变化响应。其参考仍适用时采用参考跟踪，交互条件达到触发要求后，从当前实际位置、速度、上一动作和已经开始的机动继续执行。外生随机量按稳定车辆身份、物理帧及变量类型寻址，控制分支不会改变其他时刻应读取的随机元素。</w:t>
      </w:r>
    </w:p>
    <w:p>
      <w:pPr>
        <w:spacing w:line="324" w:lineRule="auto" w:after="100"/>
        <w:ind w:firstLine="420"/>
      </w:pPr>
      <w:r>
        <w:rPr>
          <w:rFonts w:ascii="Times New Roman" w:hAnsi="Times New Roman" w:eastAsia="Noto Serif CJK SC"/>
          <w:b w:val="0"/>
          <w:sz w:val="22"/>
        </w:rPr>
        <w:t>对失效实例，从同一固定事件和外生输入出发，验证不同的主车纠正候选。候选可以由参数化控制器、规则专家或其他可执行策略提供。背景车辆在每个候选下重新响应主车实际行为；保持的是外生输入，而不是原失效回合的实际周车轨迹。</w:t>
      </w:r>
    </w:p>
    <w:p>
      <w:pPr>
        <w:spacing w:line="324" w:lineRule="auto" w:after="100"/>
        <w:ind w:firstLine="420"/>
      </w:pPr>
      <w:r>
        <w:rPr>
          <w:rFonts w:ascii="Times New Roman" w:hAnsi="Times New Roman" w:eastAsia="Noto Serif CJK SC"/>
          <w:b w:val="0"/>
          <w:sz w:val="22"/>
        </w:rPr>
        <w:t>一种候选生成方式使用合法目标车道、目标速度、纵横向启动时刻和机动持续时间组成有限候选表。先执行粗候选，再细化少量优选候选。每个候选均从完整起点恢复，受相同动力学、控制限幅和任务要求约束。仅当执行完整、无主车碰撞、无道路越界且不满足预定停车判据时，取得纠正成功资格。候选额度内没有合格结果时，保留失效及资格缺口，不生成正向纠正标签。</w:t>
      </w:r>
    </w:p>
    <w:p>
      <w:pPr>
        <w:spacing w:line="324" w:lineRule="auto" w:after="100"/>
        <w:ind w:firstLine="420"/>
      </w:pPr>
      <w:r>
        <w:rPr>
          <w:rFonts w:ascii="Times New Roman" w:hAnsi="Times New Roman" w:eastAsia="Noto Serif CJK SC"/>
          <w:b w:val="0"/>
          <w:sz w:val="22"/>
        </w:rPr>
        <w:t>多个候选合格时，优先选择相对于原任务意图变化较小的行为，再比较平顺性与任务表现。例如以目标车道偏移及目标速度偏移构造意图变化量，以实际加速度、横摆率和动作差分衡量平顺性。候选规则及排序在修正前固定，避免把一致提高速度或最大化进度直接作为所有失效的纠正目标。</w:t>
      </w:r>
    </w:p>
    <w:p>
      <w:pPr>
        <w:spacing w:line="324" w:lineRule="auto" w:after="100"/>
        <w:ind w:firstLine="420"/>
      </w:pPr>
      <w:r>
        <w:rPr>
          <w:rFonts w:ascii="Times New Roman" w:hAnsi="Times New Roman" w:eastAsia="Noto Serif CJK SC"/>
          <w:b w:val="0"/>
          <w:sz w:val="22"/>
        </w:rPr>
        <w:t>局部搜索中取得的成功邻点可以进入成功行为材料，但它与原失效使用不同环境输入，不能凭邻点成功赋予原失效纠正资格。只有在原失效自身的事件与外生输入下实际验证成功的纠正行为，才提供该失效的纠正标签。</w:t>
      </w:r>
    </w:p>
    <w:p>
      <w:pPr>
        <w:pStyle w:val="Heading2"/>
        <w:keepNext/>
        <w:spacing w:before="160" w:after="100"/>
      </w:pPr>
      <w:r>
        <w:rPr>
          <w:rFonts w:ascii="Times New Roman" w:hAnsi="Times New Roman" w:eastAsia="Noto Serif CJK SC"/>
          <w:b/>
          <w:sz w:val="23"/>
        </w:rPr>
        <w:t>4.2 联合轨迹标签与有限未来表示</w:t>
      </w:r>
    </w:p>
    <w:p>
      <w:pPr>
        <w:spacing w:line="324" w:lineRule="auto" w:after="100"/>
        <w:ind w:firstLine="420"/>
      </w:pPr>
      <w:r>
        <w:rPr>
          <w:rFonts w:ascii="Times New Roman" w:hAnsi="Times New Roman" w:eastAsia="Noto Serif CJK SC"/>
          <w:b w:val="0"/>
          <w:sz w:val="22"/>
        </w:rPr>
        <w:t>对合格纠正执行，保存从起点到终点的主车及周车状态、实际控制量、车辆身份和时间索引。训练观测由相应决策时刻已经获得的当前状态、历史、道路和路线构成，未来状态仅用于目标构造。主车未来与周车未来取自同一次合格执行，不能将纠正主车与原失效回合的周车未来拼接。</w:t>
      </w:r>
    </w:p>
    <w:p>
      <w:pPr>
        <w:spacing w:line="324" w:lineRule="auto" w:after="100"/>
        <w:ind w:firstLine="420"/>
      </w:pPr>
      <w:r>
        <w:rPr>
          <w:rFonts w:ascii="Times New Roman" w:hAnsi="Times New Roman" w:eastAsia="Noto Serif CJK SC"/>
          <w:b w:val="0"/>
          <w:sz w:val="22"/>
        </w:rPr>
        <w:t>编码器将联合运动转换到当前主车参考坐标，使用规划器原有的车辆参考点、状态归一化及输出参数化。一种实现采用主车后轴参考点，以位置和航向角正余弦表示未来状态。由此得到固定形状的轨迹数组</w:t>
      </w:r>
      <m:oMath>
        <m:r>
          <m:rPr>
            <m:sty m:val="i"/>
          </m:rPr>
          <w:rPr>
            <w:rFonts w:ascii="Cambria Math" w:hAnsi="Cambria Math"/>
            <w:sz w:val="22"/>
          </w:rPr>
          <m:t>Y</m:t>
        </m:r>
      </m:oMath>
      <w:r>
        <w:rPr>
          <w:rFonts w:ascii="Times New Roman" w:hAnsi="Times New Roman" w:eastAsia="Noto Serif CJK SC"/>
          <w:b w:val="0"/>
          <w:sz w:val="22"/>
        </w:rPr>
        <w:t>，其车辆索引记为</w:t>
      </w:r>
      <m:oMath>
        <m:r>
          <m:rPr>
            <m:sty m:val="i"/>
          </m:rPr>
          <w:rPr>
            <w:rFonts w:ascii="Cambria Math" w:hAnsi="Cambria Math"/>
            <w:sz w:val="22"/>
          </w:rPr>
          <m:t>i</m:t>
        </m:r>
      </m:oMath>
      <w:r>
        <w:rPr>
          <w:rFonts w:ascii="Times New Roman" w:hAnsi="Times New Roman" w:eastAsia="Noto Serif CJK SC"/>
          <w:b w:val="0"/>
          <w:sz w:val="22"/>
        </w:rPr>
        <w:t>，未来位置索引记为</w:t>
      </w:r>
      <m:oMath>
        <m:r>
          <m:rPr>
            <m:sty m:val="i"/>
          </m:rPr>
          <w:rPr>
            <w:rFonts w:ascii="Cambria Math" w:hAnsi="Cambria Math"/>
            <w:sz w:val="22"/>
          </w:rPr>
          <m:t>h</m:t>
        </m:r>
      </m:oMath>
      <w:r>
        <w:rPr>
          <w:rFonts w:ascii="Times New Roman" w:hAnsi="Times New Roman" w:eastAsia="Noto Serif CJK SC"/>
          <w:b w:val="0"/>
          <w:sz w:val="22"/>
        </w:rPr>
        <w:t>，网络预测长度记为</w:t>
      </w:r>
      <m:oMath>
        <m:r>
          <m:rPr>
            <m:sty m:val="i"/>
          </m:rPr>
          <w:rPr>
            <w:rFonts w:ascii="Cambria Math" w:hAnsi="Cambria Math"/>
            <w:sz w:val="22"/>
          </w:rPr>
          <m:t>H</m:t>
        </m:r>
      </m:oMath>
      <w:r>
        <w:rPr>
          <w:rFonts w:ascii="Times New Roman" w:hAnsi="Times New Roman" w:eastAsia="Noto Serif CJK SC"/>
          <w:b w:val="0"/>
          <w:sz w:val="22"/>
        </w:rPr>
        <w:t>。</w:t>
      </w:r>
    </w:p>
    <w:p>
      <w:pPr>
        <w:spacing w:line="324" w:lineRule="auto" w:after="100"/>
        <w:ind w:firstLine="420"/>
      </w:pPr>
      <w:r>
        <w:rPr>
          <w:rFonts w:ascii="Times New Roman" w:hAnsi="Times New Roman" w:eastAsia="Noto Serif CJK SC"/>
          <w:b w:val="0"/>
          <w:sz w:val="22"/>
        </w:rPr>
        <w:t>对每个车辆与未来位置建立二值有效性掩码</w:t>
      </w:r>
      <m:oMath>
        <m:r>
          <m:rPr>
            <m:sty m:val="i"/>
          </m:rPr>
          <w:rPr>
            <w:rFonts w:ascii="Cambria Math" w:hAnsi="Cambria Math"/>
            <w:sz w:val="22"/>
          </w:rPr>
          <m:t>M</m:t>
        </m:r>
      </m:oMath>
      <w:r>
        <w:rPr>
          <w:rFonts w:ascii="Times New Roman" w:hAnsi="Times New Roman" w:eastAsia="Noto Serif CJK SC"/>
          <w:b w:val="0"/>
          <w:sz w:val="22"/>
        </w:rPr>
        <w:t>。仅当该车辆有效，且相应未来时刻未超出实际执行窗口时，掩码元素</w:t>
      </w:r>
      <m:oMath>
        <m:sSub>
          <m:e>
            <m:r>
              <m:rPr>
                <m:sty m:val="i"/>
              </m:rPr>
              <w:rPr>
                <w:rFonts w:ascii="Cambria Math" w:hAnsi="Cambria Math"/>
                <w:sz w:val="22"/>
              </w:rPr>
              <m:t>M</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oMath>
      <w:r>
        <w:rPr>
          <w:rFonts w:ascii="Times New Roman" w:hAnsi="Times New Roman" w:eastAsia="Noto Serif CJK SC"/>
          <w:b w:val="0"/>
          <w:sz w:val="22"/>
        </w:rPr>
        <w:t>取1；其他位置取0。物理采样与模型预测间隔不同的，只在实际观察范围内插值。超出范围的数值可作数组填充，但其有效性不随填充而改变。</w:t>
      </w:r>
    </w:p>
    <w:p>
      <w:pPr>
        <w:spacing w:line="324" w:lineRule="auto" w:after="100"/>
        <w:ind w:firstLine="420"/>
      </w:pPr>
      <w:r>
        <w:rPr>
          <w:rFonts w:ascii="Times New Roman" w:hAnsi="Times New Roman" w:eastAsia="Noto Serif CJK SC"/>
          <w:b w:val="0"/>
          <w:sz w:val="22"/>
        </w:rPr>
        <w:t>将无效位置的干净轨迹内容置零，构造：</w:t>
      </w:r>
    </w:p>
    <w:p>
      <w:pPr>
        <w:keepNext/>
        <w:tabs>
          <w:tab w:pos="4620" w:val="center"/>
          <w:tab w:pos="9241" w:val="right"/>
        </w:tabs>
        <w:spacing w:before="120" w:after="120"/>
      </w:pPr>
      <w:r>
        <w:rPr>
          <w:rFonts w:ascii="Times New Roman" w:hAnsi="Times New Roman" w:eastAsia="Noto Serif CJK SC"/>
          <w:b w:val="0"/>
          <w:sz w:val="22"/>
        </w:rPr>
        <w:tab/>
      </w:r>
      <m:oMath>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i"/>
          </m:rPr>
          <w:rPr>
            <w:rFonts w:ascii="Cambria Math" w:hAnsi="Cambria Math"/>
            <w:sz w:val="22"/>
          </w:rPr>
          <m:t>Y</m:t>
        </m:r>
      </m:oMath>
      <w:r>
        <w:rPr>
          <w:rFonts w:ascii="Times New Roman" w:hAnsi="Times New Roman" w:eastAsia="Noto Serif CJK SC"/>
          <w:b w:val="0"/>
          <w:sz w:val="20"/>
        </w:rPr>
        <w:tab/>
        <w:t>（2）</w:t>
      </w:r>
    </w:p>
    <w:p>
      <w:pPr>
        <w:spacing w:line="324" w:lineRule="auto" w:after="100"/>
        <w:ind w:firstLine="420"/>
      </w:pPr>
      <w:r>
        <w:rPr>
          <w:rFonts w:ascii="Times New Roman" w:hAnsi="Times New Roman" w:eastAsia="Noto Serif CJK SC"/>
          <w:b w:val="0"/>
          <w:sz w:val="22"/>
        </w:rPr>
        <w:t>式（2）中，</w:t>
      </w:r>
      <m:oMath>
        <m:limUpp>
          <m:e>
            <m:r>
              <m:rPr>
                <m:sty m:val="i"/>
              </m:rPr>
              <w:rPr>
                <w:rFonts w:ascii="Cambria Math" w:hAnsi="Cambria Math"/>
                <w:sz w:val="22"/>
              </w:rPr>
              <m:t>Y</m:t>
            </m:r>
          </m:e>
          <m:lim>
            <m:r>
              <m:rPr>
                <m:sty m:val="p"/>
              </m:rPr>
              <w:rPr>
                <w:rFonts w:ascii="Cambria Math" w:hAnsi="Cambria Math"/>
                <w:sz w:val="22"/>
              </w:rPr>
              <m:t>―</m:t>
            </m:r>
          </m:lim>
        </m:limUpp>
      </m:oMath>
      <w:r>
        <w:rPr>
          <w:rFonts w:ascii="Times New Roman" w:hAnsi="Times New Roman" w:eastAsia="Noto Serif CJK SC"/>
          <w:b w:val="0"/>
          <w:sz w:val="22"/>
        </w:rPr>
        <w:t>为经过有效性处理的干净轨迹数组，</w:t>
      </w:r>
      <m:oMath>
        <m:r>
          <m:rPr>
            <m:sty m:val="p"/>
          </m:rPr>
          <w:rPr>
            <w:rFonts w:ascii="Cambria Math" w:hAnsi="Cambria Math"/>
            <w:sz w:val="22"/>
          </w:rPr>
          <m:t>⊙</m:t>
        </m:r>
      </m:oMath>
      <w:r>
        <w:rPr>
          <w:rFonts w:ascii="Times New Roman" w:hAnsi="Times New Roman" w:eastAsia="Noto Serif CJK SC"/>
          <w:b w:val="0"/>
          <w:sz w:val="22"/>
        </w:rPr>
        <w:t>表示按车辆和未来位置广播的逐元素乘法。掩码在状态归一化之后再次应用，使填充位置不因坐标或归一化变换而形成非零目标。</w:t>
      </w:r>
    </w:p>
    <w:p>
      <w:pPr>
        <w:spacing w:line="324" w:lineRule="auto" w:after="100"/>
        <w:ind w:firstLine="420"/>
      </w:pPr>
      <w:r>
        <w:rPr>
          <w:rFonts w:ascii="Times New Roman" w:hAnsi="Times New Roman" w:eastAsia="Noto Serif CJK SC"/>
          <w:b w:val="0"/>
          <w:sz w:val="22"/>
        </w:rPr>
        <w:t>在完整预测窗口内，按原有扩散过程采样噪声</w:t>
      </w:r>
      <m:oMath>
        <m:r>
          <m:rPr>
            <m:sty m:val="i"/>
          </m:rPr>
          <w:rPr>
            <w:rFonts w:ascii="Cambria Math" w:hAnsi="Cambria Math"/>
            <w:sz w:val="22"/>
          </w:rPr>
          <m:t>ξ</m:t>
        </m:r>
      </m:oMath>
      <w:r>
        <w:rPr>
          <w:rFonts w:ascii="Times New Roman" w:hAnsi="Times New Roman" w:eastAsia="Noto Serif CJK SC"/>
          <w:b w:val="0"/>
          <w:sz w:val="22"/>
        </w:rPr>
        <w:t>和扩散时刻</w:t>
      </w:r>
      <m:oMath>
        <m:r>
          <m:rPr>
            <m:sty m:val="i"/>
          </m:rPr>
          <w:rPr>
            <w:rFonts w:ascii="Cambria Math" w:hAnsi="Cambria Math"/>
            <w:sz w:val="22"/>
          </w:rPr>
          <m:t>η</m:t>
        </m:r>
      </m:oMath>
      <w:r>
        <w:rPr>
          <w:rFonts w:ascii="Times New Roman" w:hAnsi="Times New Roman" w:eastAsia="Noto Serif CJK SC"/>
          <w:b w:val="0"/>
          <w:sz w:val="22"/>
        </w:rPr>
        <w:t>，形成：</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σ</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oMath>
      <w:r>
        <w:rPr>
          <w:rFonts w:ascii="Times New Roman" w:hAnsi="Times New Roman" w:eastAsia="Noto Serif CJK SC"/>
          <w:b w:val="0"/>
          <w:sz w:val="20"/>
        </w:rPr>
        <w:tab/>
        <w:t>（3）</w:t>
      </w:r>
    </w:p>
    <w:p>
      <w:pPr>
        <w:spacing w:line="324" w:lineRule="auto" w:after="100"/>
        <w:ind w:firstLine="420"/>
      </w:pPr>
      <w:r>
        <w:rPr>
          <w:rFonts w:ascii="Times New Roman" w:hAnsi="Times New Roman" w:eastAsia="Noto Serif CJK SC"/>
          <w:b w:val="0"/>
          <w:sz w:val="22"/>
        </w:rPr>
        <w:t>式（3）中，</w:t>
      </w:r>
      <m:oMath>
        <m:sSub>
          <m:e>
            <m:r>
              <m:rPr>
                <m:sty m:val="i"/>
              </m:rPr>
              <w:rPr>
                <w:rFonts w:ascii="Cambria Math" w:hAnsi="Cambria Math"/>
                <w:sz w:val="22"/>
              </w:rPr>
              <m:t>Z</m:t>
            </m:r>
          </m:e>
          <m:sub>
            <m:r>
              <m:rPr>
                <m:sty m:val="i"/>
              </m:rPr>
              <w:rPr>
                <w:rFonts w:ascii="Cambria Math" w:hAnsi="Cambria Math"/>
                <w:sz w:val="22"/>
              </w:rPr>
              <m:t>η</m:t>
            </m:r>
          </m:sub>
        </m:sSub>
      </m:oMath>
      <w:r>
        <w:rPr>
          <w:rFonts w:ascii="Times New Roman" w:hAnsi="Times New Roman" w:eastAsia="Noto Serif CJK SC"/>
          <w:b w:val="0"/>
          <w:sz w:val="22"/>
        </w:rPr>
        <w:t>为去噪器未来轨迹输入，</w:t>
      </w:r>
      <m:oMath>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和</w:t>
      </w:r>
      <m:oMath>
        <m:r>
          <m:rPr>
            <m:sty m:val="i"/>
          </m:rPr>
          <w:rPr>
            <w:rFonts w:ascii="Cambria Math" w:hAnsi="Cambria Math"/>
            <w:sz w:val="22"/>
          </w:rPr>
          <m:t>σ</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分别为原生扩散过程中干净内容与噪声的系数，</w:t>
      </w:r>
      <m:oMath>
        <m:r>
          <m:rPr>
            <m:sty m:val="i"/>
          </m:rPr>
          <w:rPr>
            <w:rFonts w:ascii="Cambria Math" w:hAnsi="Cambria Math"/>
            <w:sz w:val="22"/>
          </w:rPr>
          <m:t>ξ</m:t>
        </m:r>
      </m:oMath>
      <w:r>
        <w:rPr>
          <w:rFonts w:ascii="Times New Roman" w:hAnsi="Times New Roman" w:eastAsia="Noto Serif CJK SC"/>
          <w:b w:val="0"/>
          <w:sz w:val="22"/>
        </w:rPr>
        <w:t>与固定形状轨迹数组同维并服从标准正态分布。对当前存在车辆的未观测未来，干净内容为零，带噪输入为该扩散时刻对应的噪声分量；不在加噪后再次乘以未来有效性掩码。该位置是随机输入而非未来标签。当前车辆是否缺席的输入掩码另按规划器原接口处理。</w:t>
      </w:r>
    </w:p>
    <w:p>
      <w:pPr>
        <w:spacing w:line="324" w:lineRule="auto" w:after="100"/>
        <w:ind w:firstLine="420"/>
      </w:pPr>
      <w:r>
        <w:rPr>
          <w:rFonts w:ascii="Times New Roman" w:hAnsi="Times New Roman" w:eastAsia="Noto Serif CJK SC"/>
          <w:b w:val="0"/>
          <w:sz w:val="22"/>
        </w:rPr>
        <w:t>原生接口需要当前状态与未来共同输入时，将当前状态作为固定前缀附加至</w:t>
      </w:r>
      <m:oMath>
        <m:sSub>
          <m:e>
            <m:r>
              <m:rPr>
                <m:sty m:val="i"/>
              </m:rPr>
              <w:rPr>
                <w:rFonts w:ascii="Cambria Math" w:hAnsi="Cambria Math"/>
                <w:sz w:val="22"/>
              </w:rPr>
              <m:t>Z</m:t>
            </m:r>
          </m:e>
          <m:sub>
            <m:r>
              <m:rPr>
                <m:sty m:val="i"/>
              </m:rPr>
              <w:rPr>
                <w:rFonts w:ascii="Cambria Math" w:hAnsi="Cambria Math"/>
                <w:sz w:val="22"/>
              </w:rPr>
              <m:t>η</m:t>
            </m:r>
          </m:sub>
        </m:sSub>
      </m:oMath>
      <w:r>
        <w:rPr>
          <w:rFonts w:ascii="Times New Roman" w:hAnsi="Times New Roman" w:eastAsia="Noto Serif CJK SC"/>
          <w:b w:val="0"/>
          <w:sz w:val="22"/>
        </w:rPr>
        <w:t>。当前状态不参与未来去噪目标计算。真实观察范围控制损失范围，完整形状扩散输入保持原网络的未来输入接口。图2说明监督有效性与带噪输入的不同用途。</w:t>
      </w:r>
    </w:p>
    <w:p>
      <w:pPr>
        <w:keepNext/>
        <w:spacing w:line="324" w:lineRule="auto" w:after="100"/>
        <w:ind w:firstLine="0"/>
        <w:jc w:val="center"/>
      </w:pPr>
      <w:r>
        <w:rPr>
          <w:rFonts w:ascii="Times New Roman" w:hAnsi="Times New Roman" w:eastAsia="Noto Serif CJK SC"/>
          <w:b/>
          <w:sz w:val="22"/>
        </w:rPr>
        <w:t>图2 短执行窗口与固定预测时域的对应关系（附图占位）</w:t>
      </w:r>
    </w:p>
    <w:p>
      <w:pPr>
        <w:spacing w:line="324" w:lineRule="auto" w:after="100"/>
        <w:ind w:firstLine="420"/>
      </w:pPr>
      <w:r>
        <w:rPr>
          <w:rFonts w:ascii="Times New Roman" w:hAnsi="Times New Roman" w:eastAsia="Noto Serif CJK SC"/>
          <w:b w:val="0"/>
          <w:sz w:val="22"/>
        </w:rPr>
        <w:t>上排绘制完整预测窗口及实际可观测未来，标明有效性掩码；中排绘制有效干净内容、填充位置和覆盖完整窗口的扩散噪声；下排绘制纠正损失与功能保持损失仅在有效位置计算。以灰度或纹理区分干净内容、噪声和无监督范围，不以填充曲线表示未发生的车辆未来。</w:t>
      </w:r>
    </w:p>
    <w:p>
      <w:pPr>
        <w:pStyle w:val="Heading2"/>
        <w:keepNext/>
        <w:spacing w:before="160" w:after="100"/>
      </w:pPr>
      <w:r>
        <w:rPr>
          <w:rFonts w:ascii="Times New Roman" w:hAnsi="Times New Roman" w:eastAsia="Noto Serif CJK SC"/>
          <w:b/>
          <w:sz w:val="23"/>
        </w:rPr>
        <w:t>4.3 与执行来源对应的去噪学习目标</w:t>
      </w:r>
    </w:p>
    <w:p>
      <w:pPr>
        <w:spacing w:line="324" w:lineRule="auto" w:after="100"/>
        <w:ind w:firstLine="420"/>
      </w:pPr>
      <w:r>
        <w:rPr>
          <w:rFonts w:ascii="Times New Roman" w:hAnsi="Times New Roman" w:eastAsia="Noto Serif CJK SC"/>
          <w:b w:val="0"/>
          <w:sz w:val="22"/>
        </w:rPr>
        <w:t>学习材料保存来源标记、交通实例、实际轨迹、执行版本及有效性掩码。将合格纠正材料记为</w:t>
      </w:r>
      <m:oMath>
        <m:sSub>
          <m:e>
            <m:r>
              <m:rPr>
                <m:sty m:val="i"/>
              </m:rPr>
              <w:rPr>
                <w:rFonts w:ascii="Cambria Math" w:hAnsi="Cambria Math"/>
                <w:sz w:val="22"/>
              </w:rPr>
              <m:t>D</m:t>
            </m:r>
          </m:e>
          <m:sub>
            <m:r>
              <m:rPr>
                <m:sty m:val="i"/>
              </m:rPr>
              <w:rPr>
                <w:rFonts w:ascii="Cambria Math" w:hAnsi="Cambria Math"/>
                <w:sz w:val="22"/>
              </w:rPr>
              <m:t>C</m:t>
            </m:r>
          </m:sub>
        </m:sSub>
      </m:oMath>
      <w:r>
        <w:rPr>
          <w:rFonts w:ascii="Times New Roman" w:hAnsi="Times New Roman" w:eastAsia="Noto Serif CJK SC"/>
          <w:b w:val="0"/>
          <w:sz w:val="22"/>
        </w:rPr>
        <w:t>，原部署策略已经成功的材料记为</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，原任务人类示范记为</w:t>
      </w:r>
      <m:oMath>
        <m:sSub>
          <m:e>
            <m:r>
              <m:rPr>
                <m:sty m:val="i"/>
              </m:rPr>
              <w:rPr>
                <w:rFonts w:ascii="Cambria Math" w:hAnsi="Cambria Math"/>
                <w:sz w:val="22"/>
              </w:rPr>
              <m:t>D</m:t>
            </m:r>
          </m:e>
          <m:sub>
            <m:r>
              <m:rPr>
                <m:sty m:val="i"/>
              </m:rPr>
              <w:rPr>
                <w:rFonts w:ascii="Cambria Math" w:hAnsi="Cambria Math"/>
                <w:sz w:val="22"/>
              </w:rPr>
              <m:t>N</m:t>
            </m:r>
          </m:sub>
        </m:sSub>
      </m:oMath>
      <w:r>
        <w:rPr>
          <w:rFonts w:ascii="Times New Roman" w:hAnsi="Times New Roman" w:eastAsia="Noto Serif CJK SC"/>
          <w:b w:val="0"/>
          <w:sz w:val="22"/>
        </w:rPr>
        <w:t>。成功邻点和未经定向搜索的成功实例均可进入</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。原任务材料按照其真实来源保留人类监督，不将冻结模型输出代替人类真值。</w:t>
      </w:r>
    </w:p>
    <w:p>
      <w:pPr>
        <w:spacing w:line="324" w:lineRule="auto" w:after="100"/>
        <w:ind w:firstLine="420"/>
      </w:pPr>
      <w:r>
        <w:rPr>
          <w:rFonts w:ascii="Times New Roman" w:hAnsi="Times New Roman" w:eastAsia="Noto Serif CJK SC"/>
          <w:b w:val="0"/>
          <w:sz w:val="22"/>
        </w:rPr>
        <w:t>以</w:t>
      </w:r>
      <m:oMath>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表示学生规划器在交通观测</w:t>
      </w:r>
      <m:oMath>
        <m:r>
          <m:rPr>
            <m:sty m:val="i"/>
          </m:rPr>
          <w:rPr>
            <w:rFonts w:ascii="Cambria Math" w:hAnsi="Cambria Math"/>
            <w:sz w:val="22"/>
          </w:rPr>
          <m:t>o</m:t>
        </m:r>
      </m:oMath>
      <w:r>
        <w:rPr>
          <w:rFonts w:ascii="Times New Roman" w:hAnsi="Times New Roman" w:eastAsia="Noto Serif CJK SC"/>
          <w:b w:val="0"/>
          <w:sz w:val="22"/>
        </w:rPr>
        <w:t>、给定带噪轨迹及扩散时刻下预测干净联合轨迹的原生去噪输出，</w:t>
      </w:r>
      <m:oMath>
        <m:r>
          <m:rPr>
            <m:sty m:val="i"/>
          </m:rPr>
          <w:rPr>
            <w:rFonts w:ascii="Cambria Math" w:hAnsi="Cambria Math"/>
            <w:sz w:val="22"/>
          </w:rPr>
          <m:t>θ</m:t>
        </m:r>
      </m:oMath>
      <w:r>
        <w:rPr>
          <w:rFonts w:ascii="Times New Roman" w:hAnsi="Times New Roman" w:eastAsia="Noto Serif CJK SC"/>
          <w:b w:val="0"/>
          <w:sz w:val="22"/>
        </w:rPr>
        <w:t>为学生参数。为明确只在有效位置计算误差，定义：</w:t>
      </w:r>
    </w:p>
    <w:p>
      <w:pPr>
        <w:keepNext/>
        <w:tabs>
          <w:tab w:pos="4620" w:val="center"/>
          <w:tab w:pos="9241" w:val="right"/>
        </w:tabs>
        <w:spacing w:before="120" w:after="120"/>
      </w:pPr>
      <w:r>
        <w:rPr>
          <w:rFonts w:ascii="Times New Roman" w:hAnsi="Times New Roman" w:eastAsia="Noto Serif CJK SC"/>
          <w:b w:val="0"/>
          <w:sz w:val="22"/>
        </w:rPr>
        <w:tab/>
      </w:r>
      <m:oMath>
        <m:r>
          <m:rPr>
            <m:sty m:val="p"/>
          </m:rPr>
          <w:rPr>
            <w:rFonts w:ascii="Cambria Math" w:hAnsi="Cambria Math"/>
            <w:sz w:val="22"/>
          </w:rPr>
          <m:t>‖</m:t>
        </m:r>
        <m:r>
          <m:rPr>
            <m:sty m:val="i"/>
          </m:rPr>
          <w:rPr>
            <w:rFonts w:ascii="Cambria Math" w:hAnsi="Cambria Math"/>
            <w:sz w:val="22"/>
          </w:rPr>
          <m:t>A</m:t>
        </m:r>
        <m:sSubSup>
          <m:e>
            <m:r>
              <m:rPr>
                <m:sty m:val="p"/>
              </m:rPr>
              <w:rPr>
                <w:rFonts w:ascii="Cambria Math" w:hAnsi="Cambria Math"/>
                <w:sz w:val="22"/>
              </w:rPr>
              <m:t>‖</m:t>
            </m:r>
          </m:e>
          <m:sub>
            <m:r>
              <m:rPr>
                <m:sty m:val="i"/>
              </m:rPr>
              <w:rPr>
                <w:rFonts w:ascii="Cambria Math" w:hAnsi="Cambria Math"/>
                <w:sz w:val="22"/>
              </w:rPr>
              <m:t>M</m:t>
            </m:r>
          </m:sub>
          <m:sup>
            <m:r>
              <m:rPr>
                <m:sty m:val="p"/>
              </m:rPr>
              <w:rPr>
                <w:rFonts w:ascii="Cambria Math" w:hAnsi="Cambria Math"/>
                <w:sz w:val="22"/>
              </w:rPr>
              <m:t>2</m:t>
            </m:r>
          </m:sup>
        </m:sSubSup>
        <m:r>
          <m:rPr>
            <m:sty m:val="p"/>
          </m:rPr>
          <w:rPr>
            <w:rFonts w:ascii="Cambria Math" w:hAnsi="Cambria Math"/>
            <w:sz w:val="22"/>
          </w:rPr>
          <m:t>=</m:t>
        </m:r>
        <m:f>
          <m:num>
            <m:sSub>
              <m:e>
                <m:r>
                  <m:rPr>
                    <m:sty m:val="p"/>
                  </m:rPr>
                  <w:rPr>
                    <w:rFonts w:ascii="Cambria Math" w:hAnsi="Cambria Math"/>
                    <w:sz w:val="22"/>
                  </w:rPr>
                  <m:t>∑</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sSub>
              <m:e>
                <m:r>
                  <m:rPr>
                    <m:sty m:val="i"/>
                  </m:rPr>
                  <w:rPr>
                    <w:rFonts w:ascii="Cambria Math" w:hAnsi="Cambria Math"/>
                    <w:sz w:val="22"/>
                  </w:rPr>
                  <m:t>M</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sSubSup>
              <m:e>
                <m:r>
                  <m:rPr>
                    <m:sty m:val="p"/>
                  </m:rPr>
                  <w:rPr>
                    <w:rFonts w:ascii="Cambria Math" w:hAnsi="Cambria Math"/>
                    <w:sz w:val="22"/>
                  </w:rPr>
                  <m:t>‖</m:t>
                </m:r>
              </m:e>
              <m:sub>
                <m:r>
                  <m:rPr>
                    <m:sty m:val="p"/>
                  </m:rPr>
                  <w:rPr>
                    <w:rFonts w:ascii="Cambria Math" w:hAnsi="Cambria Math"/>
                    <w:sz w:val="22"/>
                  </w:rPr>
                  <m:t>2</m:t>
                </m:r>
              </m:sub>
              <m:sup>
                <m:r>
                  <m:rPr>
                    <m:sty m:val="p"/>
                  </m:rPr>
                  <w:rPr>
                    <w:rFonts w:ascii="Cambria Math" w:hAnsi="Cambria Math"/>
                    <w:sz w:val="22"/>
                  </w:rPr>
                  <m:t>2</m:t>
                </m:r>
              </m:sup>
            </m:sSubSup>
          </m:num>
          <m:den>
            <m:r>
              <m:rPr>
                <m:sty m:val="p"/>
              </m:rPr>
              <w:rPr>
                <w:rFonts w:ascii="Cambria Math" w:hAnsi="Cambria Math"/>
                <w:sz w:val="22"/>
              </w:rPr>
              <m:t>max</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p"/>
                  </m:rPr>
                  <w:rPr>
                    <w:rFonts w:ascii="Cambria Math" w:hAnsi="Cambria Math"/>
                    <w:sz w:val="22"/>
                  </w:rPr>
                  <m:t>∑</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sSub>
              <m:e>
                <m:r>
                  <m:rPr>
                    <m:sty m:val="i"/>
                  </m:rPr>
                  <w:rPr>
                    <w:rFonts w:ascii="Cambria Math" w:hAnsi="Cambria Math"/>
                    <w:sz w:val="22"/>
                  </w:rPr>
                  <m:t>M</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r>
              <m:rPr>
                <m:sty m:val="p"/>
              </m:rPr>
              <w:rPr>
                <w:rFonts w:ascii="Cambria Math" w:hAnsi="Cambria Math"/>
                <w:sz w:val="22"/>
              </w:rPr>
              <m:t>)</m:t>
            </m:r>
          </m:den>
        </m:f>
      </m:oMath>
      <w:r>
        <w:rPr>
          <w:rFonts w:ascii="Times New Roman" w:hAnsi="Times New Roman" w:eastAsia="Noto Serif CJK SC"/>
          <w:b w:val="0"/>
          <w:sz w:val="20"/>
        </w:rPr>
        <w:tab/>
        <w:t>（4）</w:t>
      </w:r>
    </w:p>
    <w:p>
      <w:pPr>
        <w:spacing w:line="324" w:lineRule="auto" w:after="100"/>
        <w:ind w:firstLine="420"/>
      </w:pPr>
      <w:r>
        <w:rPr>
          <w:rFonts w:ascii="Times New Roman" w:hAnsi="Times New Roman" w:eastAsia="Noto Serif CJK SC"/>
          <w:b w:val="0"/>
          <w:sz w:val="22"/>
        </w:rPr>
        <w:t>式（4）中，</w:t>
      </w:r>
      <m:oMath>
        <m:r>
          <m:rPr>
            <m:sty m:val="i"/>
          </m:rPr>
          <w:rPr>
            <w:rFonts w:ascii="Cambria Math" w:hAnsi="Cambria Math"/>
            <w:sz w:val="22"/>
          </w:rPr>
          <m:t>A</m:t>
        </m:r>
      </m:oMath>
      <w:r>
        <w:rPr>
          <w:rFonts w:ascii="Times New Roman" w:hAnsi="Times New Roman" w:eastAsia="Noto Serif CJK SC"/>
          <w:b w:val="0"/>
          <w:sz w:val="22"/>
        </w:rPr>
        <w:t>为预测误差数组，</w:t>
      </w:r>
      <m:oMath>
        <m:r>
          <m:rPr>
            <m:sty m:val="i"/>
          </m:rPr>
          <w:rPr>
            <w:rFonts w:ascii="Cambria Math" w:hAnsi="Cambria Math"/>
            <w:sz w:val="22"/>
          </w:rPr>
          <m:t>i</m:t>
        </m:r>
      </m:oMath>
      <w:r>
        <w:rPr>
          <w:rFonts w:ascii="Times New Roman" w:hAnsi="Times New Roman" w:eastAsia="Noto Serif CJK SC"/>
          <w:b w:val="0"/>
          <w:sz w:val="22"/>
        </w:rPr>
        <w:t>和</w:t>
      </w:r>
      <m:oMath>
        <m:r>
          <m:rPr>
            <m:sty m:val="i"/>
          </m:rPr>
          <w:rPr>
            <w:rFonts w:ascii="Cambria Math" w:hAnsi="Cambria Math"/>
            <w:sz w:val="22"/>
          </w:rPr>
          <m:t>h</m:t>
        </m:r>
      </m:oMath>
      <w:r>
        <w:rPr>
          <w:rFonts w:ascii="Times New Roman" w:hAnsi="Times New Roman" w:eastAsia="Noto Serif CJK SC"/>
          <w:b w:val="0"/>
          <w:sz w:val="22"/>
        </w:rPr>
        <w:t>分别为车辆与未来位置索引，</w:t>
      </w:r>
      <m:oMath>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m:t>
            </m:r>
          </m:e>
          <m:sub>
            <m:r>
              <m:rPr>
                <m:sty m:val="p"/>
              </m:rPr>
              <w:rPr>
                <w:rFonts w:ascii="Cambria Math" w:hAnsi="Cambria Math"/>
                <w:sz w:val="22"/>
              </w:rPr>
              <m:t>2</m:t>
            </m:r>
          </m:sub>
        </m:sSub>
      </m:oMath>
      <w:r>
        <w:rPr>
          <w:rFonts w:ascii="Times New Roman" w:hAnsi="Times New Roman" w:eastAsia="Noto Serif CJK SC"/>
          <w:b w:val="0"/>
          <w:sz w:val="22"/>
        </w:rPr>
        <w:t>为状态通道的欧氏范数。某类有效位置为空时，其误差项取零。一种实现对主车与周车分别计算有效位置均值后相加，避免背景车辆数量改变主车监督的相对作用。</w:t>
      </w:r>
    </w:p>
    <w:p>
      <w:pPr>
        <w:spacing w:line="324" w:lineRule="auto" w:after="100"/>
        <w:ind w:firstLine="420"/>
      </w:pPr>
      <w:r>
        <w:rPr>
          <w:rFonts w:ascii="Times New Roman" w:hAnsi="Times New Roman" w:eastAsia="Noto Serif CJK SC"/>
          <w:b w:val="0"/>
          <w:sz w:val="22"/>
        </w:rPr>
        <w:t>对</w:t>
      </w:r>
      <m:oMath>
        <m:sSub>
          <m:e>
            <m:r>
              <m:rPr>
                <m:sty m:val="i"/>
              </m:rPr>
              <w:rPr>
                <w:rFonts w:ascii="Cambria Math" w:hAnsi="Cambria Math"/>
                <w:sz w:val="22"/>
              </w:rPr>
              <m:t>D</m:t>
            </m:r>
          </m:e>
          <m:sub>
            <m:r>
              <m:rPr>
                <m:sty m:val="i"/>
              </m:rPr>
              <w:rPr>
                <w:rFonts w:ascii="Cambria Math" w:hAnsi="Cambria Math"/>
                <w:sz w:val="22"/>
              </w:rPr>
              <m:t>C</m:t>
            </m:r>
          </m:sub>
        </m:sSub>
      </m:oMath>
      <w:r>
        <w:rPr>
          <w:rFonts w:ascii="Times New Roman" w:hAnsi="Times New Roman" w:eastAsia="Noto Serif CJK SC"/>
          <w:b w:val="0"/>
          <w:sz w:val="22"/>
        </w:rPr>
        <w:t>，学习目标为同次合格纠正执行得到的联合未来；对</w:t>
      </w:r>
      <m:oMath>
        <m:sSub>
          <m:e>
            <m:r>
              <m:rPr>
                <m:sty m:val="i"/>
              </m:rPr>
              <w:rPr>
                <w:rFonts w:ascii="Cambria Math" w:hAnsi="Cambria Math"/>
                <w:sz w:val="22"/>
              </w:rPr>
              <m:t>D</m:t>
            </m:r>
          </m:e>
          <m:sub>
            <m:r>
              <m:rPr>
                <m:sty m:val="i"/>
              </m:rPr>
              <w:rPr>
                <w:rFonts w:ascii="Cambria Math" w:hAnsi="Cambria Math"/>
                <w:sz w:val="22"/>
              </w:rPr>
              <m:t>N</m:t>
            </m:r>
          </m:sub>
        </m:sSub>
      </m:oMath>
      <w:r>
        <w:rPr>
          <w:rFonts w:ascii="Times New Roman" w:hAnsi="Times New Roman" w:eastAsia="Noto Serif CJK SC"/>
          <w:b w:val="0"/>
          <w:sz w:val="22"/>
        </w:rPr>
        <w:t>，学习目标为原任务的有效人类轨迹及其原生目标。两类材料采用有监督去噪误差：</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ty m:val="i"/>
              </m:rPr>
              <w:rPr>
                <w:rFonts w:ascii="Cambria Math" w:hAnsi="Cambria Math"/>
                <w:sz w:val="22"/>
              </w:rPr>
              <m:t>𝔼</m:t>
            </m:r>
          </m:e>
          <m:sub>
            <m:sSub>
              <m:e>
                <m:r>
                  <m:rPr>
                    <m:sty m:val="i"/>
                  </m:rPr>
                  <w:rPr>
                    <w:rFonts w:ascii="Cambria Math" w:hAnsi="Cambria Math"/>
                    <w:sz w:val="22"/>
                  </w:rPr>
                  <m:t>D</m:t>
                </m:r>
              </m:e>
              <m:sub>
                <m:r>
                  <m:rPr>
                    <m:sty m:val="i"/>
                  </m:rPr>
                  <w:rPr>
                    <w:rFonts w:ascii="Cambria Math" w:hAnsi="Cambria Math"/>
                    <w:sz w:val="22"/>
                  </w:rPr>
                  <m:t>C</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sSubSup>
          <m:e>
            <m:r>
              <m:rPr>
                <m:sty m:val="p"/>
              </m:rPr>
              <w:rPr>
                <w:rFonts w:ascii="Cambria Math" w:hAnsi="Cambria Math"/>
                <w:sz w:val="22"/>
              </w:rPr>
              <m:t>‖</m:t>
            </m:r>
          </m:e>
          <m:sub>
            <m:r>
              <m:rPr>
                <m:sty m:val="i"/>
              </m:rPr>
              <w:rPr>
                <w:rFonts w:ascii="Cambria Math" w:hAnsi="Cambria Math"/>
                <w:sz w:val="22"/>
              </w:rPr>
              <m:t>M</m:t>
            </m:r>
          </m:sub>
          <m:sup>
            <m:r>
              <m:rPr>
                <m:sty m:val="p"/>
              </m:rPr>
              <w:rPr>
                <w:rFonts w:ascii="Cambria Math" w:hAnsi="Cambria Math"/>
                <w:sz w:val="22"/>
              </w:rPr>
              <m:t>2</m:t>
            </m:r>
          </m:sup>
        </m:sSubSup>
      </m:oMath>
      <w:r>
        <w:rPr>
          <w:rFonts w:ascii="Times New Roman" w:hAnsi="Times New Roman" w:eastAsia="Noto Serif CJK SC"/>
          <w:b w:val="0"/>
          <w:sz w:val="20"/>
        </w:rPr>
        <w:tab/>
        <w:t>（5）</w:t>
      </w:r>
    </w:p>
    <w:p>
      <w:pPr>
        <w:spacing w:line="324" w:lineRule="auto" w:after="100"/>
        <w:ind w:firstLine="420"/>
      </w:pPr>
      <w:r>
        <w:rPr>
          <w:rFonts w:ascii="Times New Roman" w:hAnsi="Times New Roman" w:eastAsia="Noto Serif CJK SC"/>
          <w:b w:val="0"/>
          <w:sz w:val="22"/>
        </w:rPr>
        <w:t>式（5）中，</w:t>
      </w:r>
      <m:oMath>
        <m:sSub>
          <m:e>
            <m:r>
              <m:rPr>
                <m:sty m:val="i"/>
              </m:rPr>
              <w:rPr>
                <w:rFonts w:ascii="Cambria Math" w:hAnsi="Cambria Math"/>
                <w:sz w:val="22"/>
              </w:rPr>
              <m:t>L</m:t>
            </m:r>
          </m:e>
          <m:sub>
            <m:r>
              <m:rPr>
                <m:sty m:val="i"/>
              </m:rPr>
              <w:rPr>
                <w:rFonts w:ascii="Cambria Math" w:hAnsi="Cambria Math"/>
                <w:sz w:val="22"/>
              </w:rPr>
              <m:t>C</m:t>
            </m:r>
          </m:sub>
        </m:sSub>
      </m:oMath>
      <w:r>
        <w:rPr>
          <w:rFonts w:ascii="Times New Roman" w:hAnsi="Times New Roman" w:eastAsia="Noto Serif CJK SC"/>
          <w:b w:val="0"/>
          <w:sz w:val="22"/>
        </w:rPr>
        <w:t>为纠正损失，期望对合格纠正样本和原生扩散随机输入取值；原任务监督损失</w:t>
      </w:r>
      <m:oMath>
        <m:sSub>
          <m:e>
            <m:r>
              <m:rPr>
                <m:sty m:val="i"/>
              </m:rPr>
              <w:rPr>
                <w:rFonts w:ascii="Cambria Math" w:hAnsi="Cambria Math"/>
                <w:sz w:val="22"/>
              </w:rPr>
              <m:t>L</m:t>
            </m:r>
          </m:e>
          <m:sub>
            <m:r>
              <m:rPr>
                <m:sty m:val="i"/>
              </m:rPr>
              <w:rPr>
                <w:rFonts w:ascii="Cambria Math" w:hAnsi="Cambria Math"/>
                <w:sz w:val="22"/>
              </w:rPr>
              <m:t>N</m:t>
            </m:r>
          </m:sub>
        </m:sSub>
      </m:oMath>
      <w:r>
        <w:rPr>
          <w:rFonts w:ascii="Times New Roman" w:hAnsi="Times New Roman" w:eastAsia="Noto Serif CJK SC"/>
          <w:b w:val="0"/>
          <w:sz w:val="22"/>
        </w:rPr>
        <w:t>按相同原生输出参数化及其有效标签计算。实际使用噪声预测参数化的模型时，相应替换为该模型原有的噪声目标，保持材料来源和有效性处理不变。</w:t>
      </w:r>
    </w:p>
    <w:p>
      <w:pPr>
        <w:spacing w:line="324" w:lineRule="auto" w:after="100"/>
        <w:ind w:firstLine="420"/>
      </w:pPr>
      <w:r>
        <w:rPr>
          <w:rFonts w:ascii="Times New Roman" w:hAnsi="Times New Roman" w:eastAsia="Noto Serif CJK SC"/>
          <w:b w:val="0"/>
          <w:sz w:val="22"/>
        </w:rPr>
        <w:t>对</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，以产生相应成功行为的已部署版本作为冻结功能参照，记其去噪器参数为</w:t>
      </w:r>
      <m:oMath>
        <m:sSub>
          <m:e>
            <m:r>
              <m:rPr>
                <m:sty m:val="i"/>
              </m:rPr>
              <w:rPr>
                <w:rFonts w:ascii="Cambria Math" w:hAnsi="Cambria Math"/>
                <w:sz w:val="22"/>
              </w:rPr>
              <m:t>θ</m:t>
            </m:r>
          </m:e>
          <m:sub>
            <m:r>
              <m:rPr>
                <m:sty m:val="i"/>
              </m:rPr>
              <w:rPr>
                <w:rFonts w:ascii="Cambria Math" w:hAnsi="Cambria Math"/>
                <w:sz w:val="22"/>
              </w:rPr>
              <m:t>r</m:t>
            </m:r>
          </m:sub>
        </m:sSub>
      </m:oMath>
      <w:r>
        <w:rPr>
          <w:rFonts w:ascii="Times New Roman" w:hAnsi="Times New Roman" w:eastAsia="Noto Serif CJK SC"/>
          <w:b w:val="0"/>
          <w:sz w:val="22"/>
        </w:rPr>
        <w:t>。保留的是该规划器给定原生输入时的预测功能：</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S</m:t>
            </m:r>
          </m:sub>
        </m:sSub>
        <m:r>
          <m:rPr>
            <m:sty m:val="p"/>
          </m:rPr>
          <w:rPr>
            <w:rFonts w:ascii="Cambria Math" w:hAnsi="Cambria Math"/>
            <w:sz w:val="22"/>
          </w:rPr>
          <m:t>=</m:t>
        </m:r>
        <m:sSub>
          <m:e>
            <m:r>
              <m:rPr>
                <m:sty m:val="i"/>
              </m:rPr>
              <w:rPr>
                <w:rFonts w:ascii="Cambria Math" w:hAnsi="Cambria Math"/>
                <w:sz w:val="22"/>
              </w:rPr>
              <m:t>𝔼</m:t>
            </m:r>
          </m:e>
          <m:sub>
            <m:sSub>
              <m:e>
                <m:r>
                  <m:rPr>
                    <m:sty m:val="i"/>
                  </m:rPr>
                  <w:rPr>
                    <w:rFonts w:ascii="Cambria Math" w:hAnsi="Cambria Math"/>
                    <w:sz w:val="22"/>
                  </w:rPr>
                  <m:t>D</m:t>
                </m:r>
              </m:e>
              <m:sub>
                <m:r>
                  <m:rPr>
                    <m:sty m:val="i"/>
                  </m:rPr>
                  <w:rPr>
                    <w:rFonts w:ascii="Cambria Math" w:hAnsi="Cambria Math"/>
                    <w:sz w:val="22"/>
                  </w:rPr>
                  <m:t>S</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F</m:t>
            </m:r>
          </m:e>
          <m:sub>
            <m:sSub>
              <m:e>
                <m:r>
                  <m:rPr>
                    <m:sty m:val="i"/>
                  </m:rPr>
                  <w:rPr>
                    <w:rFonts w:ascii="Cambria Math" w:hAnsi="Cambria Math"/>
                    <w:sz w:val="22"/>
                  </w:rPr>
                  <m:t>θ</m:t>
                </m:r>
              </m:e>
              <m:sub>
                <m:r>
                  <m:rPr>
                    <m:sty m:val="i"/>
                  </m:rPr>
                  <w:rPr>
                    <w:rFonts w:ascii="Cambria Math" w:hAnsi="Cambria Math"/>
                    <w:sz w:val="22"/>
                  </w:rPr>
                  <m:t>r</m:t>
                </m:r>
              </m:sub>
            </m:sSub>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sSubSup>
          <m:e>
            <m:r>
              <m:rPr>
                <m:sty m:val="p"/>
              </m:rPr>
              <w:rPr>
                <w:rFonts w:ascii="Cambria Math" w:hAnsi="Cambria Math"/>
                <w:sz w:val="22"/>
              </w:rPr>
              <m:t>‖</m:t>
            </m:r>
          </m:e>
          <m:sub>
            <m:r>
              <m:rPr>
                <m:sty m:val="i"/>
              </m:rPr>
              <w:rPr>
                <w:rFonts w:ascii="Cambria Math" w:hAnsi="Cambria Math"/>
                <w:sz w:val="22"/>
              </w:rPr>
              <m:t>M</m:t>
            </m:r>
          </m:sub>
          <m:sup>
            <m:r>
              <m:rPr>
                <m:sty m:val="p"/>
              </m:rPr>
              <w:rPr>
                <w:rFonts w:ascii="Cambria Math" w:hAnsi="Cambria Math"/>
                <w:sz w:val="22"/>
              </w:rPr>
              <m:t>2</m:t>
            </m:r>
          </m:sup>
        </m:sSubSup>
      </m:oMath>
      <w:r>
        <w:rPr>
          <w:rFonts w:ascii="Times New Roman" w:hAnsi="Times New Roman" w:eastAsia="Noto Serif CJK SC"/>
          <w:b w:val="0"/>
          <w:sz w:val="20"/>
        </w:rPr>
        <w:tab/>
        <w:t>（6）</w:t>
      </w:r>
    </w:p>
    <w:p>
      <w:pPr>
        <w:spacing w:line="324" w:lineRule="auto" w:after="100"/>
        <w:ind w:firstLine="420"/>
      </w:pPr>
      <w:r>
        <w:rPr>
          <w:rFonts w:ascii="Times New Roman" w:hAnsi="Times New Roman" w:eastAsia="Noto Serif CJK SC"/>
          <w:b w:val="0"/>
          <w:sz w:val="22"/>
        </w:rPr>
        <w:t>式（6）中，</w:t>
      </w:r>
      <m:oMath>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2"/>
        </w:rPr>
        <w:t>为成功行为功能保持损失，教师与学生共享同一个观测、带噪轨迹、扩散时刻及有效性掩码。教师冻结并采用无梯度计算；双方关闭会干扰比较的随机层，学生保留梯度。训练接口直接调用给定噪声与扩散时刻的去噪前向，不以教师的完整随机采样轨迹替代这一前向。</w:t>
      </w:r>
    </w:p>
    <w:p>
      <w:pPr>
        <w:spacing w:line="324" w:lineRule="auto" w:after="100"/>
        <w:ind w:firstLine="420"/>
      </w:pPr>
      <w:r>
        <w:rPr>
          <w:rFonts w:ascii="Times New Roman" w:hAnsi="Times New Roman" w:eastAsia="Noto Serif CJK SC"/>
          <w:b w:val="0"/>
          <w:sz w:val="22"/>
        </w:rPr>
        <w:t>对成功执行记录，观测始终截取自决策时刻及其过去；实际未来用于确定有效范围和构造带噪轨迹的干净内容，不进入交通观测，也不作为</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的直接有监督目标。实际未来已包含低层跟踪和后续多次重规划的作用，因此本实施方式以式（6）约束原规划器给定输入时的输出变化。来源标记在学习器内实际选择式（5）或式（6），并随材料保存到训练环节。</w:t>
      </w:r>
    </w:p>
    <w:p>
      <w:pPr>
        <w:spacing w:line="324" w:lineRule="auto" w:after="100"/>
        <w:ind w:firstLine="420"/>
      </w:pPr>
      <w:r>
        <w:rPr>
          <w:rFonts w:ascii="Times New Roman" w:hAnsi="Times New Roman" w:eastAsia="Noto Serif CJK SC"/>
          <w:b w:val="0"/>
          <w:sz w:val="22"/>
        </w:rPr>
        <w:t>原任务及原有正常成功行为可固定对照最初部署模型；后续已经接纳策略产生的新成功行为对照该接纳版本。缓存与材料保存对应版本标识，切换参照前重新确认成功资格或更新版本记录。多个参照版本用于训练期目标计算，最终推断由一个学生规划器完成。</w:t>
      </w:r>
    </w:p>
    <w:p>
      <w:pPr>
        <w:spacing w:line="324" w:lineRule="auto" w:after="100"/>
        <w:ind w:firstLine="420"/>
      </w:pPr>
      <w:r>
        <w:rPr>
          <w:rFonts w:ascii="Times New Roman" w:hAnsi="Times New Roman" w:eastAsia="Noto Serif CJK SC"/>
          <w:b w:val="0"/>
          <w:sz w:val="22"/>
        </w:rPr>
        <w:t>将原任务监督、合格纠正和功能保持组合为：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L</m:t>
        </m:r>
        <m:r>
          <m:rPr>
            <m:sty m:val="p"/>
          </m:rPr>
          <w:rPr>
            <w:rFonts w:ascii="Cambria Math" w:hAnsi="Cambria Math"/>
            <w:sz w:val="22"/>
          </w:rPr>
          <m:t>=</m:t>
        </m:r>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N</m:t>
            </m:r>
          </m:sub>
        </m:sSub>
        <m:sSub>
          <m:e>
            <m:r>
              <m:rPr>
                <m:sty m:val="i"/>
              </m:rPr>
              <w:rPr>
                <w:rFonts w:ascii="Cambria Math" w:hAnsi="Cambria Math"/>
                <w:sz w:val="22"/>
              </w:rPr>
              <m:t>L</m:t>
            </m:r>
          </m:e>
          <m:sub>
            <m:r>
              <m:rPr>
                <m:sty m:val="i"/>
              </m:rPr>
              <w:rPr>
                <w:rFonts w:ascii="Cambria Math" w:hAnsi="Cambria Math"/>
                <w:sz w:val="22"/>
              </w:rPr>
              <m:t>N</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0</m:t>
            </m:r>
          </m:sub>
        </m:sSub>
        <m:sSub>
          <m:e>
            <m:r>
              <m:rPr>
                <m:sty m:val="i"/>
              </m:rPr>
              <w:rPr>
                <w:rFonts w:ascii="Cambria Math" w:hAnsi="Cambria Math"/>
                <w:sz w:val="22"/>
              </w:rPr>
              <m:t>L</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S</m:t>
            </m:r>
          </m:sub>
        </m:sSub>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0"/>
        </w:rPr>
        <w:tab/>
        <w:t>（7）</w:t>
      </w:r>
    </w:p>
    <w:p>
      <w:pPr>
        <w:spacing w:line="324" w:lineRule="auto" w:after="100"/>
        <w:ind w:firstLine="420"/>
      </w:pPr>
      <w:r>
        <w:rPr>
          <w:rFonts w:ascii="Times New Roman" w:hAnsi="Times New Roman" w:eastAsia="Noto Serif CJK SC"/>
          <w:b w:val="0"/>
          <w:sz w:val="22"/>
        </w:rPr>
        <w:t>式（7）中，</w:t>
      </w:r>
      <m:oMath>
        <m:sSub>
          <m:e>
            <m:r>
              <m:rPr>
                <m:sty m:val="i"/>
              </m:rPr>
              <w:rPr>
                <w:rFonts w:ascii="Cambria Math" w:hAnsi="Cambria Math"/>
                <w:sz w:val="22"/>
              </w:rPr>
              <m:t>L</m:t>
            </m:r>
          </m:e>
          <m:sub>
            <m:r>
              <m:rPr>
                <m:sty m:val="p"/>
              </m:rPr>
              <w:rPr>
                <w:rFonts w:ascii="Cambria Math" w:hAnsi="Cambria Math"/>
                <w:sz w:val="22"/>
              </w:rPr>
              <m:t>0</m:t>
            </m:r>
          </m:sub>
        </m:sSub>
      </m:oMath>
      <w:r>
        <w:rPr>
          <w:rFonts w:ascii="Times New Roman" w:hAnsi="Times New Roman" w:eastAsia="Noto Serif CJK SC"/>
          <w:b w:val="0"/>
          <w:sz w:val="22"/>
        </w:rPr>
        <w:t>为在原任务或原有成功保持观测上对最初部署模型计算的同输入功能误差，</w:t>
      </w:r>
      <m:oMath>
        <m:sSub>
          <m:e>
            <m:r>
              <m:rPr>
                <m:sty m:val="i"/>
              </m:rPr>
              <w:rPr>
                <w:rFonts w:ascii="Cambria Math" w:hAnsi="Cambria Math"/>
                <w:sz w:val="22"/>
              </w:rPr>
              <m:t>λ</m:t>
            </m:r>
          </m:e>
          <m:sub>
            <m:r>
              <m:rPr>
                <m:sty m:val="i"/>
              </m:rPr>
              <w:rPr>
                <w:rFonts w:ascii="Cambria Math" w:hAnsi="Cambria Math"/>
                <w:sz w:val="22"/>
              </w:rPr>
              <m:t>N</m:t>
            </m:r>
          </m:sub>
        </m:sSub>
      </m:oMath>
      <w:r>
        <w:rPr>
          <w:rFonts w:ascii="Times New Roman" w:hAnsi="Times New Roman" w:eastAsia="Noto Serif CJK SC"/>
          <w:b w:val="0"/>
          <w:sz w:val="22"/>
        </w:rPr>
        <w:t>、</w:t>
      </w:r>
      <m:oMath>
        <m:sSub>
          <m:e>
            <m:r>
              <m:rPr>
                <m:sty m:val="i"/>
              </m:rPr>
              <w:rPr>
                <w:rFonts w:ascii="Cambria Math" w:hAnsi="Cambria Math"/>
                <w:sz w:val="22"/>
              </w:rPr>
              <m:t>λ</m:t>
            </m:r>
          </m:e>
          <m:sub>
            <m:r>
              <m:rPr>
                <m:sty m:val="p"/>
              </m:rPr>
              <w:rPr>
                <w:rFonts w:ascii="Cambria Math" w:hAnsi="Cambria Math"/>
                <w:sz w:val="22"/>
              </w:rPr>
              <m:t>0</m:t>
            </m:r>
          </m:sub>
        </m:sSub>
      </m:oMath>
      <w:r>
        <w:rPr>
          <w:rFonts w:ascii="Times New Roman" w:hAnsi="Times New Roman" w:eastAsia="Noto Serif CJK SC"/>
          <w:b w:val="0"/>
          <w:sz w:val="22"/>
        </w:rPr>
        <w:t>、</w:t>
      </w:r>
      <m:oMath>
        <m:sSub>
          <m:e>
            <m:r>
              <m:rPr>
                <m:sty m:val="i"/>
              </m:rPr>
              <w:rPr>
                <w:rFonts w:ascii="Cambria Math" w:hAnsi="Cambria Math"/>
                <w:sz w:val="22"/>
              </w:rPr>
              <m:t>λ</m:t>
            </m:r>
          </m:e>
          <m:sub>
            <m:r>
              <m:rPr>
                <m:sty m:val="i"/>
              </m:rPr>
              <w:rPr>
                <w:rFonts w:ascii="Cambria Math" w:hAnsi="Cambria Math"/>
                <w:sz w:val="22"/>
              </w:rPr>
              <m:t>S</m:t>
            </m:r>
          </m:sub>
        </m:sSub>
      </m:oMath>
      <w:r>
        <w:rPr>
          <w:rFonts w:ascii="Times New Roman" w:hAnsi="Times New Roman" w:eastAsia="Noto Serif CJK SC"/>
          <w:b w:val="0"/>
          <w:sz w:val="22"/>
        </w:rPr>
        <w:t>为非负权重，其取值由预定抽样比例及损失系数共同确定。每项均由其有效材料及有效位置计算。具有充分原任务标签的样本可以同时参加人类监督与固定模型功能约束；新取得的成功实例按照执行来源参加相应功能保持。功能误差约束模型输出变化，行为是否继续成功由第4.4节的闭环执行检查。</w:t>
      </w:r>
    </w:p>
    <w:p>
      <w:pPr>
        <w:spacing w:line="324" w:lineRule="auto" w:after="100"/>
        <w:ind w:firstLine="420"/>
      </w:pPr>
      <w:r>
        <w:rPr>
          <w:rFonts w:ascii="Times New Roman" w:hAnsi="Times New Roman" w:eastAsia="Noto Serif CJK SC"/>
          <w:b w:val="0"/>
          <w:sz w:val="22"/>
        </w:rPr>
        <w:t>样本先按独立场景或抽样祖先选择，再选择决策时刻，避免长轨迹或单一失效的密集帧主导训练。纠正材料与成功保持材料分别记录数量和有效未来位置数。没有新的合格纠正材料时，保留原策略并记录材料状态；不能以重复保持训练代替失效修正。</w:t>
      </w:r>
    </w:p>
    <w:p>
      <w:pPr>
        <w:pStyle w:val="Heading2"/>
        <w:keepNext/>
        <w:spacing w:before="160" w:after="100"/>
      </w:pPr>
      <w:r>
        <w:rPr>
          <w:rFonts w:ascii="Times New Roman" w:hAnsi="Times New Roman" w:eastAsia="Noto Serif CJK SC"/>
          <w:b/>
          <w:sz w:val="23"/>
        </w:rPr>
        <w:t>4.4 参数更新与闭环验证</w:t>
      </w:r>
    </w:p>
    <w:p>
      <w:pPr>
        <w:spacing w:line="324" w:lineRule="auto" w:after="100"/>
        <w:ind w:firstLine="420"/>
      </w:pPr>
      <w:r>
        <w:rPr>
          <w:rFonts w:ascii="Times New Roman" w:hAnsi="Times New Roman" w:eastAsia="Noto Serif CJK SC"/>
          <w:b w:val="0"/>
          <w:sz w:val="22"/>
        </w:rPr>
        <w:t>在原规划器网络内划分冻结参数</w:t>
      </w:r>
      <m:oMath>
        <m:sSub>
          <m:e>
            <m:r>
              <m:rPr>
                <m:sty m:val="i"/>
              </m:rPr>
              <w:rPr>
                <w:rFonts w:ascii="Cambria Math" w:hAnsi="Cambria Math"/>
                <w:sz w:val="22"/>
              </w:rPr>
              <m:t>ϕ</m:t>
            </m:r>
          </m:e>
          <m:sub>
            <m:r>
              <m:rPr>
                <m:sty m:val="p"/>
              </m:rPr>
              <w:rPr>
                <w:rFonts w:ascii="Cambria Math" w:hAnsi="Cambria Math"/>
                <w:sz w:val="22"/>
              </w:rPr>
              <m:t>0</m:t>
            </m:r>
          </m:sub>
        </m:sSub>
      </m:oMath>
      <w:r>
        <w:rPr>
          <w:rFonts w:ascii="Times New Roman" w:hAnsi="Times New Roman" w:eastAsia="Noto Serif CJK SC"/>
          <w:b w:val="0"/>
          <w:sz w:val="22"/>
        </w:rPr>
        <w:t>与可更新参数</w:t>
      </w:r>
      <m:oMath>
        <m:r>
          <m:rPr>
            <m:sty m:val="i"/>
          </m:rPr>
          <w:rPr>
            <w:rFonts w:ascii="Cambria Math" w:hAnsi="Cambria Math"/>
            <w:sz w:val="22"/>
          </w:rPr>
          <m:t>ψ</m:t>
        </m:r>
      </m:oMath>
      <w:r>
        <w:rPr>
          <w:rFonts w:ascii="Times New Roman" w:hAnsi="Times New Roman" w:eastAsia="Noto Serif CJK SC"/>
          <w:b w:val="0"/>
          <w:sz w:val="22"/>
        </w:rPr>
        <w:t>，即</w:t>
      </w:r>
      <m:oMath>
        <m:r>
          <m:rPr>
            <m:sty m:val="i"/>
          </m:rPr>
          <w:rPr>
            <w:rFonts w:ascii="Cambria Math" w:hAnsi="Cambria Math"/>
            <w:sz w:val="22"/>
          </w:rPr>
          <m:t>θ</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ϕ</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ψ</m:t>
        </m:r>
        <m:r>
          <m:rPr>
            <m:sty m:val="p"/>
          </m:rPr>
          <w:rPr>
            <w:rFonts w:ascii="Cambria Math" w:hAnsi="Cambria Math"/>
            <w:sz w:val="22"/>
          </w:rPr>
          <m:t>)</m:t>
        </m:r>
      </m:oMath>
      <w:r>
        <w:rPr>
          <w:rFonts w:ascii="Times New Roman" w:hAnsi="Times New Roman" w:eastAsia="Noto Serif CJK SC"/>
          <w:b w:val="0"/>
          <w:sz w:val="22"/>
        </w:rPr>
        <w:t>。一种实现冻结观测、路线编码器及前部去噪层，更新末部去噪块和输出层，固定归一化统计。训练学生、冻结参照及候选初始化均使用实际部署参数；原检查点同时保存训练参数和部署滑动平均参数时，初始化依据实际部署的一份参数，避免零次更新已经更换功能参照。</w:t>
      </w:r>
    </w:p>
    <w:p>
      <w:pPr>
        <w:spacing w:line="324" w:lineRule="auto" w:after="100"/>
        <w:ind w:firstLine="420"/>
      </w:pPr>
      <w:r>
        <w:rPr>
          <w:rFonts w:ascii="Times New Roman" w:hAnsi="Times New Roman" w:eastAsia="Noto Serif CJK SC"/>
          <w:b w:val="0"/>
          <w:sz w:val="22"/>
        </w:rPr>
        <w:t>可采用梯度优化式（7），并仅对开放参数维护部署使用的指数滑动平均（EMA）：</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ψ</m:t>
            </m:r>
          </m:e>
          <m:sub>
            <m:r>
              <m:rPr>
                <m:sty m:val="i"/>
              </m:rPr>
              <w:rPr>
                <w:rFonts w:ascii="Cambria Math" w:hAnsi="Cambria Math"/>
                <w:sz w:val="22"/>
              </w:rPr>
              <m:t>E</m:t>
            </m:r>
          </m:sub>
        </m:sSub>
        <m:r>
          <m:rPr>
            <m:sty m:val="p"/>
          </m:rPr>
          <w:rPr>
            <w:rFonts w:ascii="Cambria Math" w:hAnsi="Cambria Math"/>
            <w:sz w:val="22"/>
          </w:rPr>
          <m:t>←</m:t>
        </m:r>
        <m:r>
          <m:rPr>
            <m:sty m:val="i"/>
          </m:rPr>
          <w:rPr>
            <w:rFonts w:ascii="Cambria Math" w:hAnsi="Cambria Math"/>
            <w:sz w:val="22"/>
          </w:rPr>
          <m:t>μ</m:t>
        </m:r>
        <m:sSub>
          <m:e>
            <m:r>
              <m:rPr>
                <m:sty m:val="i"/>
              </m:rPr>
              <w:rPr>
                <w:rFonts w:ascii="Cambria Math" w:hAnsi="Cambria Math"/>
                <w:sz w:val="22"/>
              </w:rPr>
              <m:t>ψ</m:t>
            </m:r>
          </m:e>
          <m:sub>
            <m:r>
              <m:rPr>
                <m:sty m:val="i"/>
              </m:rPr>
              <w:rPr>
                <w:rFonts w:ascii="Cambria Math" w:hAnsi="Cambria Math"/>
                <w:sz w:val="22"/>
              </w:rPr>
              <m:t>E</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μ</m:t>
        </m:r>
        <m:r>
          <m:rPr>
            <m:sty m:val="p"/>
          </m:rPr>
          <w:rPr>
            <w:rFonts w:ascii="Cambria Math" w:hAnsi="Cambria Math"/>
            <w:sz w:val="22"/>
          </w:rPr>
          <m:t>)</m:t>
        </m:r>
        <m:r>
          <m:rPr>
            <m:sty m:val="i"/>
          </m:rPr>
          <w:rPr>
            <w:rFonts w:ascii="Cambria Math" w:hAnsi="Cambria Math"/>
            <w:sz w:val="22"/>
          </w:rPr>
          <m:t>ψ</m:t>
        </m:r>
      </m:oMath>
      <w:r>
        <w:rPr>
          <w:rFonts w:ascii="Times New Roman" w:hAnsi="Times New Roman" w:eastAsia="Noto Serif CJK SC"/>
          <w:b w:val="0"/>
          <w:sz w:val="20"/>
        </w:rPr>
        <w:tab/>
        <w:t>（8）</w:t>
      </w:r>
    </w:p>
    <w:p>
      <w:pPr>
        <w:spacing w:line="324" w:lineRule="auto" w:after="100"/>
        <w:ind w:firstLine="420"/>
      </w:pPr>
      <w:r>
        <w:rPr>
          <w:rFonts w:ascii="Times New Roman" w:hAnsi="Times New Roman" w:eastAsia="Noto Serif CJK SC"/>
          <w:b w:val="0"/>
          <w:sz w:val="22"/>
        </w:rPr>
        <w:t>式（8）中，</w:t>
      </w:r>
      <m:oMath>
        <m:sSub>
          <m:e>
            <m:r>
              <m:rPr>
                <m:sty m:val="i"/>
              </m:rPr>
              <w:rPr>
                <w:rFonts w:ascii="Cambria Math" w:hAnsi="Cambria Math"/>
                <w:sz w:val="22"/>
              </w:rPr>
              <m:t>ψ</m:t>
            </m:r>
          </m:e>
          <m:sub>
            <m:r>
              <m:rPr>
                <m:sty m:val="i"/>
              </m:rPr>
              <w:rPr>
                <w:rFonts w:ascii="Cambria Math" w:hAnsi="Cambria Math"/>
                <w:sz w:val="22"/>
              </w:rPr>
              <m:t>E</m:t>
            </m:r>
          </m:sub>
        </m:sSub>
      </m:oMath>
      <w:r>
        <w:rPr>
          <w:rFonts w:ascii="Times New Roman" w:hAnsi="Times New Roman" w:eastAsia="Noto Serif CJK SC"/>
          <w:b w:val="0"/>
          <w:sz w:val="22"/>
        </w:rPr>
        <w:t>为部署使用的指数滑动平均参数，</w:t>
      </w:r>
      <m:oMath>
        <m:r>
          <m:rPr>
            <m:sty m:val="i"/>
          </m:rPr>
          <w:rPr>
            <w:rFonts w:ascii="Cambria Math" w:hAnsi="Cambria Math"/>
            <w:sz w:val="22"/>
          </w:rPr>
          <m:t>μ</m:t>
        </m:r>
      </m:oMath>
      <w:r>
        <w:rPr>
          <w:rFonts w:ascii="Times New Roman" w:hAnsi="Times New Roman" w:eastAsia="Noto Serif CJK SC"/>
          <w:b w:val="0"/>
          <w:sz w:val="22"/>
        </w:rPr>
        <w:t>为取值不小于0且小于1的预定平滑系数，一种配置取0.999。冻结参数及非浮点状态按原值保存，教师不进入梯度或滑动平均更新。候选测试与最终导出使用相同部署参数及原生推断接口，记录训练参数、部署参数和优化器状态之间的对应关系。</w:t>
      </w:r>
    </w:p>
    <w:p>
      <w:pPr>
        <w:spacing w:line="324" w:lineRule="auto" w:after="100"/>
        <w:ind w:firstLine="420"/>
      </w:pPr>
      <w:r>
        <w:rPr>
          <w:rFonts w:ascii="Times New Roman" w:hAnsi="Times New Roman" w:eastAsia="Noto Serif CJK SC"/>
          <w:b w:val="0"/>
          <w:sz w:val="22"/>
        </w:rPr>
        <w:t>在预先隔离的开发交通实例上，对候选、最初部署模型和上一接纳模型恢复相同环境输入，执行闭环比较。规划器输出经原轨迹跟踪器生成主车加速和转向控制，驱动仿真车辆运动并引起背景响应。分别检查碰撞、道路越界、停车、任务进度，以及原成功实例中的新增失效。候选满足预定安全与任务门槛并获得所要求的改善时予以接纳；不满足时恢复最近接纳版本的训练参数、部署参数及优化器状态。开发实例不提供纠正标签，最终留出实例不参与模型选择。</w:t>
      </w:r>
    </w:p>
    <w:p>
      <w:pPr>
        <w:spacing w:line="324" w:lineRule="auto" w:after="100"/>
        <w:ind w:firstLine="420"/>
      </w:pPr>
      <w:r>
        <w:rPr>
          <w:rFonts w:ascii="Times New Roman" w:hAnsi="Times New Roman" w:eastAsia="Noto Serif CJK SC"/>
          <w:b w:val="0"/>
          <w:sz w:val="22"/>
        </w:rPr>
        <w:t>一种准入配置对长尾生成与自然生成开发集合分别检查：候选相对于最初模型及上一接纳模型的碰撞、道路越界和停车计数不增加，总进度不低于相应参考的98%；同时要求长尾碰撞数减少，或者已保存端点中存在失效解除且无新增失效。计数、实例列表和比较版本共同保存；多个候选通过时，按预先确定的安全指标及候选顺序选取一份，不以最终留出结果改变选择。</w:t>
      </w:r>
    </w:p>
    <w:p>
      <w:pPr>
        <w:pStyle w:val="Heading1"/>
        <w:keepNext/>
        <w:spacing w:before="240" w:after="140"/>
      </w:pPr>
      <w:r>
        <w:rPr>
          <w:rFonts w:ascii="Times New Roman" w:hAnsi="Times New Roman" w:eastAsia="Noto Serif CJK SC"/>
          <w:b/>
          <w:sz w:val="26"/>
        </w:rPr>
        <w:t>5 核心保护关系与技术效果</w:t>
      </w:r>
    </w:p>
    <w:p>
      <w:pPr>
        <w:spacing w:line="324" w:lineRule="auto" w:after="100"/>
        <w:ind w:firstLine="420"/>
      </w:pPr>
      <w:r>
        <w:rPr>
          <w:rFonts w:ascii="Times New Roman" w:hAnsi="Times New Roman" w:eastAsia="Noto Serif CJK SC"/>
          <w:b w:val="0"/>
          <w:sz w:val="22"/>
        </w:rPr>
        <w:t>建议以如下技术关系作为独立方法的保护中心：对交互测试实例进行实际结果判定，在相同事件及外生输入下验证主车纠正行为，并让背景车辆响应该行为；以同次成功执行中的主车及周车未来形成纠正材料，以部署策略成功执行中的观测及对应冻结去噪器形成成功保持材料；按照真实执行时域建立未来有效性掩码，在固定预测窗口内保留完整扩散噪声；在有效位置上，分别以纠正联合轨迹或同输入冻结去噪输出作为学习目标，更新扩散规划器并据闭环比较接纳候选。</w:t>
      </w:r>
    </w:p>
    <w:p>
      <w:pPr>
        <w:spacing w:line="324" w:lineRule="auto" w:after="100"/>
        <w:ind w:firstLine="420"/>
      </w:pPr>
      <w:r>
        <w:rPr>
          <w:rFonts w:ascii="Times New Roman" w:hAnsi="Times New Roman" w:eastAsia="Noto Serif CJK SC"/>
          <w:b w:val="0"/>
          <w:sz w:val="22"/>
        </w:rPr>
        <w:t>该关系将实际纠正资格和学习目标联系起来。成功的纠正执行提供可追溯的主车与周车联合目标；已有成功行为通过原生功能参照保留，不被低层控制所形成的物理轨迹直接改写。有限未来的有效性同时进入两类损失，而完整窗口噪声继续进入去噪器，使标签范围和训练输入各自对应明确的技术用途。</w:t>
      </w:r>
    </w:p>
    <w:p>
      <w:pPr>
        <w:spacing w:line="324" w:lineRule="auto" w:after="100"/>
        <w:ind w:firstLine="420"/>
      </w:pPr>
      <w:r>
        <w:rPr>
          <w:rFonts w:ascii="Times New Roman" w:hAnsi="Times New Roman" w:eastAsia="Noto Serif CJK SC"/>
          <w:b w:val="0"/>
          <w:sz w:val="22"/>
        </w:rPr>
        <w:t>可进一步保护的具体特征包括：逐车逐时的外生输入恢复；当前机动承接；纠正候选的意图变化及平顺性排序；联合未来同源及因果观测构造；无效干净内容置零后仍保留噪声的处理顺序；学生与冻结参照共享噪声和扩散时刻；分开处理最初部署与近期接纳功能；原网络局部更新、部署滑动平均和训练状态恢复。风险分层搜索及邻域获取可作为材料来源的从属实现，具体场景生成结构无需成为全部实施方式的必要特征。</w:t>
      </w:r>
    </w:p>
    <w:p>
      <w:pPr>
        <w:spacing w:line="324" w:lineRule="auto" w:after="100"/>
        <w:ind w:firstLine="420"/>
      </w:pPr>
      <w:r>
        <w:rPr>
          <w:rFonts w:ascii="Times New Roman" w:hAnsi="Times New Roman" w:eastAsia="Noto Serif CJK SC"/>
          <w:b w:val="0"/>
          <w:sz w:val="22"/>
        </w:rPr>
        <w:t>对应系统设置交通实例恢复模块、交互执行与纠正验证模块、样本编码模块、来源目标选择模块、去噪训练模块及候选验证模块。样本编码输出观测、联合轨迹、有效性和来源版本；来源目标选择模块决定监督或功能保持；去噪训练模块输出候选参数；候选验证模块控制参数接纳与恢复。处理器、存储器和相应程序实现这些数据处理及交通仿真调用。</w:t>
      </w:r>
    </w:p>
    <w:p>
      <w:pPr>
        <w:pStyle w:val="Heading1"/>
        <w:keepNext/>
        <w:spacing w:before="240" w:after="140"/>
      </w:pPr>
      <w:r>
        <w:rPr>
          <w:rFonts w:ascii="Times New Roman" w:hAnsi="Times New Roman" w:eastAsia="Noto Serif CJK SC"/>
          <w:b/>
          <w:sz w:val="26"/>
        </w:rPr>
        <w:t>6 工程实施与已有验证依据</w:t>
      </w:r>
    </w:p>
    <w:p>
      <w:pPr>
        <w:spacing w:line="324" w:lineRule="auto" w:after="100"/>
        <w:ind w:firstLine="420"/>
      </w:pPr>
      <w:r>
        <w:rPr>
          <w:rFonts w:ascii="Times New Roman" w:hAnsi="Times New Roman" w:eastAsia="Noto Serif CJK SC"/>
          <w:b w:val="0"/>
          <w:sz w:val="22"/>
        </w:rPr>
        <w:t>项目已构建基于highD交通数据的条件生成与响应式仿真环境，背景车辆至多六辆，物理步长为0.04秒。现有事件包含150个状态和149次转移，首末间隔5.96秒；所接入的Diffusion Planner原生未来为80个预测位置，间隔0.1秒。因此，在事件后段采集决策样本时，可用未来短于模型固定预测窗口，式（2）至式（6）的有效范围处理具有直接实施对象。</w:t>
      </w:r>
    </w:p>
    <w:p>
      <w:pPr>
        <w:spacing w:line="324" w:lineRule="auto" w:after="100"/>
        <w:ind w:firstLine="420"/>
      </w:pPr>
      <w:r>
        <w:rPr>
          <w:rFonts w:ascii="Times New Roman" w:hAnsi="Times New Roman" w:eastAsia="Noto Serif CJK SC"/>
          <w:b w:val="0"/>
          <w:sz w:val="22"/>
        </w:rPr>
        <w:t>纠正候选从相同完整实例恢复，通过改变合法目标车道、目标速度和机动时序执行。当前候选额度至多128，合格执行按意图变化与平顺性排序。主车未来与周车未来共同取自该次成功执行，再转换为原生局部坐标目标。学习材料保留纠正专家或原策略成功的来源类型，学习器据此分别计算有监督目标或冻结模型功能保持。</w:t>
      </w:r>
    </w:p>
    <w:p>
      <w:pPr>
        <w:spacing w:line="324" w:lineRule="auto" w:after="100"/>
        <w:ind w:firstLine="420"/>
      </w:pPr>
      <w:r>
        <w:rPr>
          <w:rFonts w:ascii="Times New Roman" w:hAnsi="Times New Roman" w:eastAsia="Noto Serif CJK SC"/>
          <w:b w:val="0"/>
          <w:sz w:val="22"/>
        </w:rPr>
        <w:t>已有正式实验的首轮引导搜索在5,000次实际调用内发现450个主搜索去重碰撞输入，其中1个为初始碰撞，分支诊断另计；选出的32个缺陷及邻点输入中，27个取得合格专家纠正，5个为原策略成功来源。加入32个未经定向搜索的先验输入后，该轮材料共有27个专家来源与37个策略成功来源。这一分布说明两类材料均在实际流程中出现，来源类型确实需要进入训练目标选择。</w:t>
      </w:r>
    </w:p>
    <w:p>
      <w:pPr>
        <w:spacing w:line="324" w:lineRule="auto" w:after="100"/>
        <w:ind w:firstLine="420"/>
      </w:pPr>
      <w:r>
        <w:rPr>
          <w:rFonts w:ascii="Times New Roman" w:hAnsi="Times New Roman" w:eastAsia="Noto Serif CJK SC"/>
          <w:b w:val="0"/>
          <w:sz w:val="22"/>
        </w:rPr>
        <w:t>已对27个纠正专家输入完成标签跟踪诊断，记录中主车碰撞、道路越界和停车均为零。该诊断检查转换后的标签及执行器对应关系；它与训练后的规划器能否自行修正分别验证。材料核查同时确认超出观察窗口的未来不参与专家监督。</w:t>
      </w:r>
    </w:p>
    <w:p>
      <w:pPr>
        <w:spacing w:line="324" w:lineRule="auto" w:after="100"/>
        <w:ind w:firstLine="420"/>
      </w:pPr>
      <w:r>
        <w:rPr>
          <w:rFonts w:ascii="Times New Roman" w:hAnsi="Times New Roman" w:eastAsia="Noto Serif CJK SC"/>
          <w:b w:val="0"/>
          <w:sz w:val="22"/>
        </w:rPr>
        <w:t>训练实现使用32个原任务样本、16个正常成功保持样本和16个修正来源样本组成有效批次，修正来源内再按记录选择专家监督或成功功能保持。原模型为固定教师，近期成功行为使用本轮开始的部署模型作参照；教师与学生共享带噪输入及扩散时刻。当前Diffusion Planner开放最后一个去噪块与输出层，采用部署滑动平均进行候选验证及导出。</w:t>
      </w:r>
    </w:p>
    <w:p>
      <w:pPr>
        <w:spacing w:line="324" w:lineRule="auto" w:after="100"/>
        <w:ind w:firstLine="420"/>
      </w:pPr>
      <w:r>
        <w:rPr>
          <w:rFonts w:ascii="Times New Roman" w:hAnsi="Times New Roman" w:eastAsia="Noto Serif CJK SC"/>
          <w:b w:val="0"/>
          <w:sz w:val="22"/>
        </w:rPr>
        <w:t>闭环准入的已有记录给出了训练误差之外的实际检查。首轮开发中，最初模型在500个长尾生成实例及500个自然生成实例上的碰撞分别为20和10；500次更新候选分别为15和9，1,000次更新候选分别为50和27。实际接纳500次更新候选，并恢复其对应训练、部署及优化器状态。这一记录说明候选验证与状态恢复在执行层面发挥作用，不能将更晚更新或更小训练损失直接视为修正成功。</w:t>
      </w:r>
    </w:p>
    <w:p>
      <w:pPr>
        <w:spacing w:line="324" w:lineRule="auto" w:after="100"/>
        <w:ind w:firstLine="420"/>
      </w:pPr>
      <w:r>
        <w:rPr>
          <w:rFonts w:ascii="Times New Roman" w:hAnsi="Times New Roman" w:eastAsia="Noto Serif CJK SC"/>
          <w:b w:val="0"/>
          <w:sz w:val="22"/>
        </w:rPr>
        <w:t>同一接纳模型随后在冻结的2,000个长尾生成留出实例上，碰撞由原模型61次变为40次。该结果用于说明搜索、选样、训练和准入共同组成的完整流程在该集合上的表现。纠正执行与标签跟踪记录用于核对标签资格，来源选择及有效性处理由相应训练计算核对，各证据分别对应其实际验证对象。</w:t>
      </w:r>
    </w:p>
    <w:p>
      <w:pPr>
        <w:spacing w:line="324" w:lineRule="auto" w:after="100"/>
        <w:ind w:firstLine="420"/>
      </w:pPr>
      <w:r>
        <w:rPr>
          <w:rFonts w:ascii="Times New Roman" w:hAnsi="Times New Roman" w:eastAsia="Noto Serif CJK SC"/>
          <w:b w:val="0"/>
          <w:sz w:val="22"/>
        </w:rPr>
        <w:t>本方法可以接入其他保持固定未来表示和可显式调用去噪前向的扩散规划器。原任务数据、纠正候选控制器、风险筛选方式及局部更新范围可以替换；替换后仍保留交互纠正资格、执行来源对应目标、真实有效范围与完整带噪输入之间的关系。对于不采用扩散表示的策略，需要另行定义其原生学习目标，不直接沿用式（3）的训练输入。</w:t>
      </w:r>
    </w:p>
    <w:p>
      <w:pPr>
        <w:pStyle w:val="Heading1"/>
        <w:keepNext/>
        <w:spacing w:before="240" w:after="140"/>
      </w:pPr>
      <w:r>
        <w:rPr>
          <w:rFonts w:ascii="Times New Roman" w:hAnsi="Times New Roman" w:eastAsia="Noto Serif CJK SC"/>
          <w:b/>
          <w:sz w:val="26"/>
        </w:rPr>
        <w:t>7 附图说明与参考文献</w:t>
      </w:r>
    </w:p>
    <w:p>
      <w:pPr>
        <w:spacing w:line="324" w:lineRule="auto" w:after="100"/>
        <w:ind w:firstLine="420"/>
      </w:pPr>
      <w:r>
        <w:rPr>
          <w:rFonts w:ascii="Times New Roman" w:hAnsi="Times New Roman" w:eastAsia="Noto Serif CJK SC"/>
          <w:b w:val="0"/>
          <w:sz w:val="22"/>
        </w:rPr>
        <w:t>图1表示总体流程；图2表示实际未来、有效性掩码、完整窗口噪声及目标范围。图3表示材料来源决定学习目标的关系，图4表示候选的闭环比较及参数恢复。各图为逻辑附图占位，可据下述关系制作中文黑白线条图；已有场景和响应图片可作为交互执行的辅助实施材料，不代替本方法来源目标选择的证据。</w:t>
      </w:r>
    </w:p>
    <w:p>
      <w:pPr>
        <w:keepNext/>
        <w:spacing w:line="324" w:lineRule="auto" w:after="100"/>
        <w:ind w:firstLine="0"/>
        <w:jc w:val="center"/>
      </w:pPr>
      <w:r>
        <w:rPr>
          <w:rFonts w:ascii="Times New Roman" w:hAnsi="Times New Roman" w:eastAsia="Noto Serif CJK SC"/>
          <w:b/>
          <w:sz w:val="22"/>
        </w:rPr>
        <w:t>图3 执行来源与学习目标（附图占位）</w:t>
      </w:r>
    </w:p>
    <w:p>
      <w:pPr>
        <w:spacing w:line="324" w:lineRule="auto" w:after="100"/>
        <w:ind w:firstLine="420"/>
      </w:pPr>
      <w:r>
        <w:rPr>
          <w:rFonts w:ascii="Times New Roman" w:hAnsi="Times New Roman" w:eastAsia="Noto Serif CJK SC"/>
          <w:b w:val="0"/>
          <w:sz w:val="22"/>
        </w:rPr>
        <w:t>左侧分别绘制合格纠正执行、已接纳策略成功执行和原任务示范。纠正执行连接同次主车及周车联合未来监督；策略成功连接对应冻结去噪器的同输入输出；原任务示范连接真实监督及最初模型功能保持。三路共同接收有效性掩码，去噪前向共享完整形状带噪输入。</w:t>
      </w:r>
    </w:p>
    <w:p>
      <w:pPr>
        <w:keepNext/>
        <w:spacing w:line="324" w:lineRule="auto" w:after="100"/>
        <w:ind w:firstLine="0"/>
        <w:jc w:val="center"/>
      </w:pPr>
      <w:r>
        <w:rPr>
          <w:rFonts w:ascii="Times New Roman" w:hAnsi="Times New Roman" w:eastAsia="Noto Serif CJK SC"/>
          <w:b/>
          <w:sz w:val="22"/>
        </w:rPr>
        <w:t>图4 闭环验证及训练状态恢复（附图占位）</w:t>
      </w:r>
    </w:p>
    <w:p>
      <w:pPr>
        <w:spacing w:line="324" w:lineRule="auto" w:after="100"/>
        <w:ind w:firstLine="420"/>
      </w:pPr>
      <w:r>
        <w:rPr>
          <w:rFonts w:ascii="Times New Roman" w:hAnsi="Times New Roman" w:eastAsia="Noto Serif CJK SC"/>
          <w:b w:val="0"/>
          <w:sz w:val="22"/>
        </w:rPr>
        <w:t>绘制训练参数、部署滑动平均和优化器状态的对应关系；在相同开发实例与外生输入下比较候选、初始模型及上一接纳模型。通过时保存候选，未通过时恢复最近接纳状态。开发数据与纠正训练数据分别标明用途。</w:t>
      </w:r>
    </w:p>
    <w:p>
      <w:pPr>
        <w:spacing w:line="264" w:lineRule="auto" w:after="80"/>
        <w:ind w:firstLine="0"/>
      </w:pPr>
      <w:r>
        <w:rPr>
          <w:rFonts w:ascii="Times New Roman" w:hAnsi="Times New Roman" w:eastAsia="Noto Serif CJK SC"/>
          <w:b w:val="0"/>
          <w:sz w:val="18"/>
        </w:rPr>
        <w:t>[1] Hanselmann N, Renz K, Chitta K, et al. KING: Generating Safety-Critical Driving Scenarios for Robust Imitation via Kinematics Gradients. ECCV，2022。</w:t>
      </w:r>
      <w:r>
        <w:rPr>
          <w:rFonts w:ascii="Times New Roman" w:hAnsi="Times New Roman" w:eastAsia="Noto Serif CJK SC"/>
          <w:b w:val="0"/>
          <w:sz w:val="18"/>
        </w:rPr>
        <w:t xml:space="preserve"> </w:t>
      </w:r>
      <w:hyperlink r:id="rId10">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[2] Luo Y, Chong H, Li F, et al. Reflect-VLA: Internalizing Reflective Guidance via Dual-Path On-Policy Self-Distillation for Autonomous Driving. arXiv:2610.13453v1，2026-10-09。</w:t>
      </w:r>
      <w:r>
        <w:rPr>
          <w:rFonts w:ascii="Times New Roman" w:hAnsi="Times New Roman" w:eastAsia="Noto Serif CJK SC"/>
          <w:b w:val="0"/>
          <w:sz w:val="18"/>
        </w:rPr>
        <w:t xml:space="preserve"> </w:t>
      </w:r>
      <w:hyperlink r:id="rId11">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[3] Yang Z, Qian Z, Shi Y, et al. GRID-Planner: Graph-Structured Relational Reward Shaping for Diffusion Planning. arXiv:2610.21984v1，2026-10-15。</w:t>
      </w:r>
      <w:r>
        <w:rPr>
          <w:rFonts w:ascii="Times New Roman" w:hAnsi="Times New Roman" w:eastAsia="Noto Serif CJK SC"/>
          <w:b w:val="0"/>
          <w:sz w:val="18"/>
        </w:rPr>
        <w:t xml:space="preserve"> </w:t>
      </w:r>
      <w:hyperlink r:id="rId12">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[4] Linscott G. Refinement training for machine-learned vehicle control model. US20250171046A1，2025-05-29公开。</w:t>
      </w:r>
      <w:r>
        <w:rPr>
          <w:rFonts w:ascii="Times New Roman" w:hAnsi="Times New Roman" w:eastAsia="Noto Serif CJK SC"/>
          <w:b w:val="0"/>
          <w:sz w:val="18"/>
        </w:rPr>
        <w:t xml:space="preserve"> </w:t>
      </w:r>
      <w:hyperlink r:id="rId13">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[5] 英伟达公司．用于自主和半自主机器及应用的恢复场景的生成．CN121404308A，2026-01-27公开。</w:t>
      </w:r>
      <w:r>
        <w:rPr>
          <w:rFonts w:ascii="Times New Roman" w:hAnsi="Times New Roman" w:eastAsia="Noto Serif CJK SC"/>
          <w:b w:val="0"/>
          <w:sz w:val="18"/>
        </w:rPr>
        <w:t xml:space="preserve"> </w:t>
      </w:r>
      <w:hyperlink r:id="rId14">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[6] Zheng Y, Liang R, Zheng K, et al. Diffusion-Based Planning for Autonomous Driving with Flexible Guidance. ICLR，2025。</w:t>
      </w:r>
      <w:r>
        <w:rPr>
          <w:rFonts w:ascii="Times New Roman" w:hAnsi="Times New Roman" w:eastAsia="Noto Serif CJK SC"/>
          <w:b w:val="0"/>
          <w:sz w:val="18"/>
        </w:rPr>
        <w:t xml:space="preserve"> </w:t>
      </w:r>
      <w:hyperlink r:id="rId15">
        <w:r>
          <w:rPr>
            <w:rFonts w:ascii="Times New Roman" w:hAnsi="Times New Roman"/>
            <w:sz w:val="18"/>
          </w:rPr>
          <w:t>原文链接</w:t>
        </w:r>
      </w:hyperlink>
    </w:p>
    <w:p>
      <w:pPr>
        <w:spacing w:line="324" w:lineRule="auto" w:after="100"/>
        <w:ind w:firstLine="420"/>
      </w:pPr>
      <w:r>
        <w:rPr>
          <w:rFonts w:ascii="Times New Roman" w:hAnsi="Times New Roman" w:eastAsia="Noto Serif CJK SC"/>
          <w:b/>
          <w:sz w:val="22"/>
        </w:rPr>
        <w:t>摘要建议稿</w:t>
      </w:r>
    </w:p>
    <w:p>
      <w:pPr>
        <w:spacing w:line="324" w:lineRule="auto" w:after="100"/>
        <w:ind w:firstLine="420"/>
      </w:pPr>
      <w:r>
        <w:rPr>
          <w:rFonts w:ascii="Times New Roman" w:hAnsi="Times New Roman" w:eastAsia="Noto Serif CJK SC"/>
          <w:b w:val="0"/>
          <w:sz w:val="22"/>
        </w:rPr>
        <w:t>本发明公开一种自动驾驶扩散规划器的交互失效修正方法。在相同事件及外生输入下闭环验证纠正行为，使背景车辆响应主车动作，并以同次成功执行的主车与周车未来构造纠正材料；对已成功策略执行，以对应冻结去噪器作为功能参照。按实际执行时域建立未来有效性掩码，在完整预测窗口内保留扩散噪声，在有效位置分别计算联合轨迹监督或同输入功能保持损失，更新原规划器并通过闭环比较接纳候选。该方法使失效纠正证据、成功行为参照与有限未来的训练表示共同作用于规划器修正。</w:t>
      </w:r>
    </w:p>
    <w:sectPr w:rsidR="00FC693F" w:rsidRPr="0006063C" w:rsidSect="00034616">
      <w:footerReference w:type="default" r:id="rId9"/>
      <w:pgSz w:w="11906" w:h="16838"/>
      <w:pgMar w:top="1247"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sz w:val="18"/>
      </w:rPr>
      <w:t xml:space="preserve">— </w:t>
    </w:r>
    <w:fldSimple w:instr="PAGE"/>
    <w:r>
      <w:rPr>
        <w:rFonts w:ascii="Times New Roman" w:hAnsi="Times New Roman" w:eastAsia="Noto Serif CJK SC"/>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html/2204.13683" TargetMode="External"/><Relationship Id="rId11" Type="http://schemas.openxmlformats.org/officeDocument/2006/relationships/hyperlink" Target="https://arxiv.org/html/2610.13453v1" TargetMode="External"/><Relationship Id="rId12" Type="http://schemas.openxmlformats.org/officeDocument/2006/relationships/hyperlink" Target="https://arxiv.org/html/2610.21984v1" TargetMode="External"/><Relationship Id="rId13" Type="http://schemas.openxmlformats.org/officeDocument/2006/relationships/hyperlink" Target="https://patents.google.com/patent/US20250171046A1/en" TargetMode="External"/><Relationship Id="rId14" Type="http://schemas.openxmlformats.org/officeDocument/2006/relationships/hyperlink" Target="https://patents.google.com/patent/CN121404308A/zh" TargetMode="External"/><Relationship Id="rId15" Type="http://schemas.openxmlformats.org/officeDocument/2006/relationships/hyperlink" Target="https://proceedings.iclr.cc/paper_files/paper/2025/hash/5c0cd43063f087eb32e572d040a19cd2-Abstract-Con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一种自动驾驶扩散规划器的交互失效修正方法</dc:title>
  <dc:subject>技术交底书重新构思稿</dc:subject>
  <dc:creator>蒋拯民</dc:creator>
  <cp:keywords/>
  <dc:description>generated by python-docx</dc:description>
  <cp:lastModifiedBy/>
  <cp:revision>1</cp:revision>
  <dcterms:created xsi:type="dcterms:W3CDTF">2013-12-23T23:15:00Z</dcterms:created>
  <dcterms:modified xsi:type="dcterms:W3CDTF">2013-12-23T23:15:00Z</dcterms:modified>
  <cp:category/>
</cp:coreProperties>
</file>