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6D7E1" w14:textId="77777777" w:rsidR="00C65BD9" w:rsidRDefault="003C66B1">
      <w:pPr>
        <w:keepNext/>
        <w:spacing w:after="40"/>
        <w:jc w:val="center"/>
        <w:rPr>
          <w:sz w:val="28"/>
          <w:szCs w:val="28"/>
        </w:rPr>
      </w:pPr>
      <w:r>
        <w:rPr>
          <w:b/>
          <w:sz w:val="28"/>
          <w:szCs w:val="28"/>
        </w:rPr>
        <w:t>发明专利技术交底书</w:t>
      </w:r>
    </w:p>
    <w:p w14:paraId="19ABD357" w14:textId="579A640C" w:rsidR="0015030A" w:rsidRDefault="0015030A" w:rsidP="002D4ACD">
      <w:pPr>
        <w:rPr>
          <w:b/>
        </w:rPr>
      </w:pPr>
    </w:p>
    <w:tbl>
      <w:tblPr>
        <w:tblpPr w:leftFromText="180" w:rightFromText="180" w:vertAnchor="page" w:horzAnchor="margin" w:tblpXSpec="center" w:tblpY="222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4"/>
        <w:gridCol w:w="1138"/>
        <w:gridCol w:w="1524"/>
        <w:gridCol w:w="766"/>
        <w:gridCol w:w="1911"/>
        <w:gridCol w:w="385"/>
        <w:gridCol w:w="2306"/>
      </w:tblGrid>
      <w:tr w:rsidR="0015030A" w14:paraId="19716EDE" w14:textId="77777777" w:rsidTr="00546C41">
        <w:trPr>
          <w:trHeight w:val="851"/>
        </w:trPr>
        <w:tc>
          <w:tcPr>
            <w:tcW w:w="2309" w:type="dxa"/>
            <w:gridSpan w:val="2"/>
            <w:vAlign w:val="center"/>
          </w:tcPr>
          <w:p w14:paraId="6FD766ED" w14:textId="77777777" w:rsidR="0015030A" w:rsidRPr="00DC108C" w:rsidRDefault="0015030A" w:rsidP="00524DC6">
            <w:pPr>
              <w:pStyle w:val="aff9"/>
              <w:overflowPunct/>
              <w:spacing w:line="360" w:lineRule="auto"/>
              <w:jc w:val="center"/>
              <w:rPr>
                <w:bCs/>
              </w:rPr>
            </w:pPr>
            <w:r w:rsidRPr="00DC108C">
              <w:rPr>
                <w:rFonts w:hint="eastAsia"/>
                <w:bCs/>
              </w:rPr>
              <w:t>专利名称</w:t>
            </w:r>
          </w:p>
        </w:tc>
        <w:tc>
          <w:tcPr>
            <w:tcW w:w="2309" w:type="dxa"/>
            <w:gridSpan w:val="2"/>
            <w:vAlign w:val="center"/>
          </w:tcPr>
          <w:p w14:paraId="35948663" w14:textId="085B4510" w:rsidR="0015030A" w:rsidRPr="00DC108C" w:rsidRDefault="008447E3" w:rsidP="00524DC6">
            <w:pPr>
              <w:pStyle w:val="aff9"/>
              <w:overflowPunct/>
              <w:spacing w:line="360" w:lineRule="auto"/>
              <w:jc w:val="center"/>
              <w:rPr>
                <w:bCs/>
              </w:rPr>
            </w:pPr>
            <w:r w:rsidRPr="00DC108C">
              <w:rPr>
                <w:rFonts w:hint="eastAsia"/>
                <w:bCs/>
              </w:rPr>
              <w:t>一种</w:t>
            </w:r>
            <w:r w:rsidR="0015030A" w:rsidRPr="00DC108C">
              <w:rPr>
                <w:bCs/>
              </w:rPr>
              <w:t>自然驾驶事件约束的自动驾驶多失效域测试方法</w:t>
            </w:r>
          </w:p>
        </w:tc>
        <w:tc>
          <w:tcPr>
            <w:tcW w:w="2309" w:type="dxa"/>
            <w:gridSpan w:val="2"/>
            <w:vAlign w:val="center"/>
          </w:tcPr>
          <w:p w14:paraId="1DF45A36" w14:textId="77777777" w:rsidR="0015030A" w:rsidRPr="00DC108C" w:rsidRDefault="0015030A" w:rsidP="00524DC6">
            <w:pPr>
              <w:pStyle w:val="aff9"/>
              <w:overflowPunct/>
              <w:spacing w:line="360" w:lineRule="auto"/>
              <w:jc w:val="center"/>
              <w:rPr>
                <w:bCs/>
              </w:rPr>
            </w:pPr>
            <w:r w:rsidRPr="00DC108C">
              <w:rPr>
                <w:rFonts w:hint="eastAsia"/>
                <w:bCs/>
              </w:rPr>
              <w:t>所属技术领域</w:t>
            </w:r>
          </w:p>
        </w:tc>
        <w:tc>
          <w:tcPr>
            <w:tcW w:w="2309" w:type="dxa"/>
            <w:vAlign w:val="center"/>
          </w:tcPr>
          <w:p w14:paraId="42357FB7" w14:textId="7E2B4463" w:rsidR="0015030A" w:rsidRPr="00DC108C" w:rsidRDefault="00090CFF" w:rsidP="00524DC6">
            <w:pPr>
              <w:pStyle w:val="aff9"/>
              <w:overflowPunct/>
              <w:spacing w:line="360" w:lineRule="auto"/>
              <w:jc w:val="center"/>
              <w:rPr>
                <w:bCs/>
              </w:rPr>
            </w:pPr>
            <w:r w:rsidRPr="00DC108C">
              <w:rPr>
                <w:rFonts w:hint="eastAsia"/>
                <w:bCs/>
              </w:rPr>
              <w:t>人工智能、自动驾驶、智能交通</w:t>
            </w:r>
          </w:p>
        </w:tc>
      </w:tr>
      <w:tr w:rsidR="0015030A" w14:paraId="09FE0500" w14:textId="77777777" w:rsidTr="00546C41">
        <w:trPr>
          <w:trHeight w:val="851"/>
        </w:trPr>
        <w:tc>
          <w:tcPr>
            <w:tcW w:w="2309" w:type="dxa"/>
            <w:gridSpan w:val="2"/>
            <w:vAlign w:val="center"/>
          </w:tcPr>
          <w:p w14:paraId="2FB6F6E4" w14:textId="77777777" w:rsidR="0015030A" w:rsidRPr="00DC108C" w:rsidRDefault="0015030A" w:rsidP="00524DC6">
            <w:pPr>
              <w:pStyle w:val="aff9"/>
              <w:overflowPunct/>
              <w:spacing w:line="360" w:lineRule="auto"/>
              <w:jc w:val="center"/>
              <w:rPr>
                <w:bCs/>
              </w:rPr>
            </w:pPr>
            <w:r w:rsidRPr="00DC108C">
              <w:rPr>
                <w:rFonts w:hint="eastAsia"/>
                <w:bCs/>
              </w:rPr>
              <w:t>专利发明人或设计人</w:t>
            </w:r>
          </w:p>
        </w:tc>
        <w:tc>
          <w:tcPr>
            <w:tcW w:w="2309" w:type="dxa"/>
            <w:gridSpan w:val="2"/>
            <w:vAlign w:val="center"/>
          </w:tcPr>
          <w:p w14:paraId="192A642B" w14:textId="414C7084" w:rsidR="0015030A" w:rsidRPr="00DC108C" w:rsidRDefault="003461F9" w:rsidP="00524DC6">
            <w:pPr>
              <w:pStyle w:val="aff9"/>
              <w:overflowPunct/>
              <w:spacing w:line="360" w:lineRule="auto"/>
              <w:jc w:val="center"/>
              <w:rPr>
                <w:bCs/>
              </w:rPr>
            </w:pPr>
            <w:r w:rsidRPr="00DC108C">
              <w:rPr>
                <w:bCs/>
              </w:rPr>
              <w:t>蒋拯民、李慧云、潘毅、颜迥超</w:t>
            </w:r>
          </w:p>
        </w:tc>
        <w:tc>
          <w:tcPr>
            <w:tcW w:w="2309" w:type="dxa"/>
            <w:gridSpan w:val="2"/>
            <w:vAlign w:val="center"/>
          </w:tcPr>
          <w:p w14:paraId="0A518936" w14:textId="77777777" w:rsidR="0015030A" w:rsidRPr="00DC108C" w:rsidRDefault="0015030A" w:rsidP="00524DC6">
            <w:pPr>
              <w:pStyle w:val="aff9"/>
              <w:overflowPunct/>
              <w:spacing w:line="360" w:lineRule="auto"/>
              <w:jc w:val="center"/>
              <w:rPr>
                <w:bCs/>
              </w:rPr>
            </w:pPr>
            <w:r w:rsidRPr="00DC108C">
              <w:rPr>
                <w:rFonts w:hint="eastAsia"/>
                <w:bCs/>
              </w:rPr>
              <w:t>技术交底书撰写人</w:t>
            </w:r>
          </w:p>
        </w:tc>
        <w:tc>
          <w:tcPr>
            <w:tcW w:w="2309" w:type="dxa"/>
            <w:vAlign w:val="center"/>
          </w:tcPr>
          <w:p w14:paraId="750989F2" w14:textId="3D09081F" w:rsidR="0015030A" w:rsidRPr="00DC108C" w:rsidRDefault="00561CB7" w:rsidP="00524DC6">
            <w:pPr>
              <w:pStyle w:val="aff9"/>
              <w:overflowPunct/>
              <w:spacing w:line="360" w:lineRule="auto"/>
              <w:jc w:val="center"/>
              <w:rPr>
                <w:bCs/>
              </w:rPr>
            </w:pPr>
            <w:r w:rsidRPr="00DC108C">
              <w:rPr>
                <w:bCs/>
              </w:rPr>
              <w:t>蒋拯民</w:t>
            </w:r>
          </w:p>
        </w:tc>
      </w:tr>
      <w:tr w:rsidR="0015030A" w14:paraId="4B37C193" w14:textId="77777777" w:rsidTr="00546C41">
        <w:tc>
          <w:tcPr>
            <w:tcW w:w="1154" w:type="dxa"/>
            <w:vMerge w:val="restart"/>
            <w:vAlign w:val="center"/>
          </w:tcPr>
          <w:p w14:paraId="71127CAE" w14:textId="77777777" w:rsidR="0015030A" w:rsidRPr="00DC108C" w:rsidRDefault="0015030A" w:rsidP="00524DC6">
            <w:pPr>
              <w:pStyle w:val="aff9"/>
              <w:overflowPunct/>
              <w:spacing w:line="360" w:lineRule="auto"/>
              <w:jc w:val="center"/>
              <w:rPr>
                <w:bCs/>
              </w:rPr>
            </w:pPr>
            <w:r w:rsidRPr="00DC108C">
              <w:rPr>
                <w:rFonts w:hint="eastAsia"/>
                <w:bCs/>
              </w:rPr>
              <w:t>技术问题联系人</w:t>
            </w:r>
          </w:p>
        </w:tc>
        <w:tc>
          <w:tcPr>
            <w:tcW w:w="2694" w:type="dxa"/>
            <w:gridSpan w:val="2"/>
            <w:vAlign w:val="center"/>
          </w:tcPr>
          <w:p w14:paraId="6D461B71" w14:textId="77777777" w:rsidR="0015030A" w:rsidRPr="00DC108C" w:rsidRDefault="0015030A" w:rsidP="00524DC6">
            <w:pPr>
              <w:pStyle w:val="aff9"/>
              <w:overflowPunct/>
              <w:spacing w:line="360" w:lineRule="auto"/>
              <w:jc w:val="center"/>
              <w:rPr>
                <w:bCs/>
              </w:rPr>
            </w:pPr>
            <w:r w:rsidRPr="00DC108C">
              <w:rPr>
                <w:rFonts w:hint="eastAsia"/>
                <w:bCs/>
              </w:rPr>
              <w:t>姓名</w:t>
            </w:r>
          </w:p>
        </w:tc>
        <w:tc>
          <w:tcPr>
            <w:tcW w:w="2694" w:type="dxa"/>
            <w:gridSpan w:val="2"/>
            <w:vAlign w:val="center"/>
          </w:tcPr>
          <w:p w14:paraId="35979E2F" w14:textId="77777777" w:rsidR="0015030A" w:rsidRPr="00DC108C" w:rsidRDefault="0015030A" w:rsidP="00524DC6">
            <w:pPr>
              <w:pStyle w:val="aff9"/>
              <w:overflowPunct/>
              <w:spacing w:line="360" w:lineRule="auto"/>
              <w:jc w:val="center"/>
              <w:rPr>
                <w:bCs/>
              </w:rPr>
            </w:pPr>
            <w:r w:rsidRPr="00DC108C">
              <w:rPr>
                <w:rFonts w:hint="eastAsia"/>
                <w:bCs/>
              </w:rPr>
              <w:t>电话</w:t>
            </w:r>
          </w:p>
        </w:tc>
        <w:tc>
          <w:tcPr>
            <w:tcW w:w="2694" w:type="dxa"/>
            <w:gridSpan w:val="2"/>
            <w:vAlign w:val="center"/>
          </w:tcPr>
          <w:p w14:paraId="149C4CB7" w14:textId="77777777" w:rsidR="0015030A" w:rsidRPr="00DC108C" w:rsidRDefault="0015030A" w:rsidP="00524DC6">
            <w:pPr>
              <w:pStyle w:val="aff9"/>
              <w:overflowPunct/>
              <w:spacing w:line="360" w:lineRule="auto"/>
              <w:jc w:val="center"/>
              <w:rPr>
                <w:bCs/>
              </w:rPr>
            </w:pPr>
            <w:r w:rsidRPr="00DC108C">
              <w:rPr>
                <w:bCs/>
              </w:rPr>
              <w:t>E-mail</w:t>
            </w:r>
          </w:p>
        </w:tc>
      </w:tr>
      <w:tr w:rsidR="0015030A" w14:paraId="19787CCF" w14:textId="77777777" w:rsidTr="00546C41">
        <w:trPr>
          <w:trHeight w:val="567"/>
        </w:trPr>
        <w:tc>
          <w:tcPr>
            <w:tcW w:w="1154" w:type="dxa"/>
            <w:vMerge/>
            <w:vAlign w:val="center"/>
          </w:tcPr>
          <w:p w14:paraId="350A0DFA" w14:textId="77777777" w:rsidR="0015030A" w:rsidRPr="00DC108C" w:rsidRDefault="0015030A" w:rsidP="00524DC6">
            <w:pPr>
              <w:pStyle w:val="aff9"/>
              <w:overflowPunct/>
              <w:spacing w:line="360" w:lineRule="auto"/>
              <w:jc w:val="center"/>
              <w:rPr>
                <w:bCs/>
              </w:rPr>
            </w:pPr>
          </w:p>
        </w:tc>
        <w:tc>
          <w:tcPr>
            <w:tcW w:w="2694" w:type="dxa"/>
            <w:gridSpan w:val="2"/>
            <w:vAlign w:val="center"/>
          </w:tcPr>
          <w:p w14:paraId="5DC70709" w14:textId="5B8367E9" w:rsidR="0015030A" w:rsidRPr="00DC108C" w:rsidRDefault="006D5CBF" w:rsidP="00524DC6">
            <w:pPr>
              <w:pStyle w:val="aff9"/>
              <w:overflowPunct/>
              <w:spacing w:line="360" w:lineRule="auto"/>
              <w:jc w:val="center"/>
              <w:rPr>
                <w:bCs/>
              </w:rPr>
            </w:pPr>
            <w:r w:rsidRPr="00DC108C">
              <w:rPr>
                <w:bCs/>
              </w:rPr>
              <w:t>蒋拯民</w:t>
            </w:r>
          </w:p>
        </w:tc>
        <w:tc>
          <w:tcPr>
            <w:tcW w:w="2694" w:type="dxa"/>
            <w:gridSpan w:val="2"/>
            <w:vAlign w:val="center"/>
          </w:tcPr>
          <w:p w14:paraId="3765CE98" w14:textId="793F57EB" w:rsidR="0015030A" w:rsidRPr="00DC108C" w:rsidRDefault="006D5CBF" w:rsidP="00524DC6">
            <w:pPr>
              <w:pStyle w:val="aff9"/>
              <w:overflowPunct/>
              <w:spacing w:line="360" w:lineRule="auto"/>
              <w:jc w:val="center"/>
              <w:rPr>
                <w:bCs/>
              </w:rPr>
            </w:pPr>
            <w:r w:rsidRPr="00DC108C">
              <w:t>17749028738</w:t>
            </w:r>
            <w:r w:rsidRPr="00DC108C">
              <w:t>（同微信）</w:t>
            </w:r>
          </w:p>
        </w:tc>
        <w:tc>
          <w:tcPr>
            <w:tcW w:w="2694" w:type="dxa"/>
            <w:gridSpan w:val="2"/>
            <w:vAlign w:val="center"/>
          </w:tcPr>
          <w:p w14:paraId="57B36D64" w14:textId="5900989B" w:rsidR="0015030A" w:rsidRPr="00DC108C" w:rsidRDefault="00332992" w:rsidP="00332992">
            <w:pPr>
              <w:pStyle w:val="aff9"/>
              <w:overflowPunct/>
              <w:spacing w:line="360" w:lineRule="auto"/>
              <w:rPr>
                <w:bCs/>
              </w:rPr>
            </w:pPr>
            <w:r w:rsidRPr="00DC108C">
              <w:rPr>
                <w:rFonts w:hint="eastAsia"/>
                <w:bCs/>
              </w:rPr>
              <w:t>jiangzm22@gmail.com</w:t>
            </w:r>
          </w:p>
        </w:tc>
      </w:tr>
    </w:tbl>
    <w:p w14:paraId="733E4FBA" w14:textId="77777777" w:rsidR="00C65BD9" w:rsidRDefault="003C66B1">
      <w:pPr>
        <w:pStyle w:val="1"/>
        <w:spacing w:before="160" w:after="50"/>
      </w:pPr>
      <w:r>
        <w:t xml:space="preserve">1 </w:t>
      </w:r>
      <w:r>
        <w:t>技术领域与所要解决的技术问题</w:t>
      </w:r>
    </w:p>
    <w:p w14:paraId="38858E6D" w14:textId="4B3E894E" w:rsidR="00C65BD9" w:rsidRDefault="003C66B1">
      <w:pPr>
        <w:spacing w:after="60" w:line="264" w:lineRule="auto"/>
        <w:ind w:firstLine="420"/>
      </w:pPr>
      <w:r>
        <w:t>本发明涉及自动驾驶系统的闭环仿真测试。测试设备以一段自然驾驶记录中的多车交互事件为起点，由被测自动驾驶策略控制主车，背景车辆根据交通变化作出响应，并根据实际运行轨迹判断是否发生碰撞或驶出道路。本方法用于在有限仿真次数内发现不同失效过程，形成可用于缺陷分析、版本回归与场景库构建的测试实例。</w:t>
      </w:r>
    </w:p>
    <w:p w14:paraId="76B5CF2D" w14:textId="5BCA669C" w:rsidR="00C65BD9" w:rsidRDefault="003C66B1">
      <w:pPr>
        <w:spacing w:after="60" w:line="264" w:lineRule="auto"/>
        <w:ind w:firstLine="420"/>
      </w:pPr>
      <w:r>
        <w:t>自然驾驶事件提供了真实的道路几何、车辆身份、车辆尺寸、起始状态与有效历史。测试时需要保持这些条件一致，才能比较背景车辆行为调整所产生的后果。但被测车辆的制动、加速或转向动作可能与记录不同，背景车辆若继续按记录轨迹运行，就可能产生与当前交通状态不相容的运动。因此，背景车辆应当承接已经发生的运动，并根据被测车辆的实际动作调整后续行为。</w:t>
      </w:r>
    </w:p>
    <w:p w14:paraId="37D9DA8C" w14:textId="77777777" w:rsidR="00C65BD9" w:rsidRDefault="003C66B1">
      <w:pPr>
        <w:spacing w:after="60" w:line="264" w:lineRule="auto"/>
        <w:ind w:firstLine="420"/>
      </w:pPr>
      <w:r>
        <w:t>在具备上述响应能力后，有限预算的测试还需要解决两个相互关联的问题。一是如何选择下一次应当改变的背景行为，使风险变化能够归因到具体参数组；二是如何保留不同失效过程的扩展机会，避免少数高风险实例反复派生、占用大部分仿真次数。按交互类别分别限制实例数量时，同一次独立抽样的派生实例还可能进入多个类别，反复获得新的扩展机会。</w:t>
      </w:r>
    </w:p>
    <w:p w14:paraId="3BA20799" w14:textId="77777777" w:rsidR="00C65BD9" w:rsidRDefault="003C66B1">
      <w:pPr>
        <w:spacing w:after="60" w:line="264" w:lineRule="auto"/>
        <w:ind w:firstLine="420"/>
      </w:pPr>
      <w:r>
        <w:t>本发明要解决的技术问题是：在自然驾驶事件的道路、车辆身份、尺寸、初态与有效历史保持不变，且背景车辆能够响应实际交通的条件下，如何共同确定下一次仿真的父实例、行为变更参数组与执行次数，使行为变更方向可以通过配对执行核对，不同失效过程可以通过实际执行区分，同一次独立抽样的派生实例在全部失效域中共用扩展次数上限。</w:t>
      </w:r>
    </w:p>
    <w:p w14:paraId="520A5126" w14:textId="77777777" w:rsidR="00C65BD9" w:rsidRDefault="003C66B1">
      <w:pPr>
        <w:spacing w:after="60" w:line="264" w:lineRule="auto"/>
        <w:ind w:firstLine="420"/>
      </w:pPr>
      <w:r>
        <w:t>本文把一次完整独立条件抽样及其派生实例组成的集合称为</w:t>
      </w:r>
      <w:r>
        <w:t>“</w:t>
      </w:r>
      <w:r>
        <w:t>抽样谱系</w:t>
      </w:r>
      <w:r>
        <w:t>”</w:t>
      </w:r>
      <w:r>
        <w:t>，用来源标识记录其起点；局部变更与跨域移动均继承该标识。</w:t>
      </w:r>
      <w:r>
        <w:t>“</w:t>
      </w:r>
      <w:r>
        <w:t>失效域</w:t>
      </w:r>
      <w:r>
        <w:t>”</w:t>
      </w:r>
      <w:r>
        <w:t>是对已经发生预定失效的实例，根据实际中点执行建立的连通图所确定的经验分组。</w:t>
      </w:r>
      <w:r>
        <w:t>“</w:t>
      </w:r>
      <w:r>
        <w:t>目标失效域</w:t>
      </w:r>
      <w:r>
        <w:t>”</w:t>
      </w:r>
      <w:r>
        <w:t>用于指明未失效高风险候选拟扩展的已确认失效域，不表示该候选已经失效。</w:t>
      </w:r>
      <w:r>
        <w:t>“</w:t>
      </w:r>
      <w:r>
        <w:t>交互类别</w:t>
      </w:r>
      <w:r>
        <w:t>”</w:t>
      </w:r>
      <w:r>
        <w:t>是依据车辆相对位置等描述量作出的统计分类，不参与失效域确认和代表名额分配。</w:t>
      </w:r>
    </w:p>
    <w:p w14:paraId="70D7ED1A" w14:textId="77777777" w:rsidR="00C65BD9" w:rsidRDefault="003C66B1">
      <w:pPr>
        <w:pStyle w:val="1"/>
        <w:spacing w:before="160" w:after="50"/>
      </w:pPr>
      <w:r>
        <w:lastRenderedPageBreak/>
        <w:t xml:space="preserve">2 </w:t>
      </w:r>
      <w:r>
        <w:t>技术背景与相近的现有方案</w:t>
      </w:r>
    </w:p>
    <w:p w14:paraId="26AFF788" w14:textId="77777777" w:rsidR="00C65BD9" w:rsidRDefault="003C66B1">
      <w:pPr>
        <w:spacing w:after="60" w:line="264" w:lineRule="auto"/>
        <w:ind w:firstLine="420"/>
      </w:pPr>
      <w:r>
        <w:t>以自然驾驶事件为起点的仿真测试，需要同时保持事件条件、允许背景车辆响应实际交通，并把有限执行次数用于发现不同的失效过程。与本方法相关的现有方案主要涉及响应式重建、反馈引导与多样性搜索，以下结合所列文献说明其处理方式及本方法需要进一步解决的问题。</w:t>
      </w:r>
    </w:p>
    <w:p w14:paraId="47B7E443" w14:textId="77777777" w:rsidR="00C65BD9" w:rsidRDefault="003C66B1">
      <w:pPr>
        <w:spacing w:before="100" w:after="50"/>
      </w:pPr>
      <w:r>
        <w:t>在自然驾驶事件的响应式重建方面，已有方法通过改变背景车辆的控制方式，使其能够偏离原始记录轨迹。</w:t>
      </w:r>
    </w:p>
    <w:p w14:paraId="74BCBF98" w14:textId="77777777" w:rsidR="00C65BD9" w:rsidRDefault="003C66B1">
      <w:pPr>
        <w:spacing w:after="60" w:line="264" w:lineRule="auto"/>
        <w:ind w:firstLine="420"/>
      </w:pPr>
      <w:r>
        <w:t>WO2025090341A1</w:t>
      </w:r>
      <w:r>
        <w:t>从日志构建仿真，在交通交互满足切换条件时使背景车辆偏离日志轨迹，并继续处理其他受影响车辆，还涉及空间路径跟随与行为参数拟合</w:t>
      </w:r>
      <w:r>
        <w:t>[1]</w:t>
      </w:r>
      <w:r>
        <w:t>。</w:t>
      </w:r>
      <w:r>
        <w:t>MixSim</w:t>
      </w:r>
      <w:r>
        <w:t>以路线目标与低层行为策略组织混合现实交通仿真，并通过相关车辆路线优化构造危险变体</w:t>
      </w:r>
      <w:r>
        <w:t>[2]</w:t>
      </w:r>
      <w:r>
        <w:t>。这些处理为事件中的背景响应提供了基础。</w:t>
      </w:r>
    </w:p>
    <w:p w14:paraId="080F2195" w14:textId="77777777" w:rsidR="00C65BD9" w:rsidRDefault="003C66B1">
      <w:pPr>
        <w:spacing w:after="60" w:line="264" w:lineRule="auto"/>
        <w:ind w:firstLine="420"/>
      </w:pPr>
      <w:r>
        <w:t>本发明进一步关心响应后的实际轨迹如何决定后续测试。实际轨迹既用于比较单个行为参数组改变前后的风险，也用于核对失效实例之间的连通关系；前者确定下一次改变哪个参数组，后者确定哪些失效过程需要继续扩展。背景响应产生的结果由此进入同一轮输入生成。</w:t>
      </w:r>
    </w:p>
    <w:p w14:paraId="4788123E" w14:textId="77777777" w:rsidR="00C65BD9" w:rsidRDefault="003C66B1">
      <w:pPr>
        <w:spacing w:before="100" w:after="50"/>
      </w:pPr>
      <w:r>
        <w:t>在交互关系与测试反馈引导方面，已有方法利用车辆间关系或已测结果选择干预对象和参数。</w:t>
      </w:r>
    </w:p>
    <w:p w14:paraId="4A30A871" w14:textId="77777777" w:rsidR="00C65BD9" w:rsidRDefault="003C66B1">
      <w:pPr>
        <w:spacing w:after="60" w:line="264" w:lineRule="auto"/>
        <w:ind w:firstLine="420"/>
      </w:pPr>
      <w:r>
        <w:t>CCDiff</w:t>
      </w:r>
      <w:r>
        <w:t>及其关联公开申请</w:t>
      </w:r>
      <w:r>
        <w:t>US20260134173A1</w:t>
      </w:r>
      <w:r>
        <w:t>依据参与者间的交互因果结构对车辆排序，对关键车辆的扩散逆采样施加控制目标梯度</w:t>
      </w:r>
      <w:r>
        <w:t>[3][4]</w:t>
      </w:r>
      <w:r>
        <w:t>。</w:t>
      </w:r>
      <w:r>
        <w:t>CN121743096A</w:t>
      </w:r>
      <w:r>
        <w:t>结合场景测试结果、决策不确定性与敏感区域调整场景参数</w:t>
      </w:r>
      <w:r>
        <w:t>[8]</w:t>
      </w:r>
      <w:r>
        <w:t>。这些方案说明交互关系和测试反馈能够用于引导场景生成。</w:t>
      </w:r>
    </w:p>
    <w:p w14:paraId="47BAE1AC" w14:textId="77777777" w:rsidR="00C65BD9" w:rsidRDefault="003C66B1">
      <w:pPr>
        <w:spacing w:after="60" w:line="264" w:lineRule="auto"/>
        <w:ind w:firstLine="420"/>
      </w:pPr>
      <w:r>
        <w:t>本发明需要进一步分清单组调整与多组联合调整的作用。在事件、被测策略、环境配置及非选中输入一致时，单组变更前后的实际风险差用于更新该组的选择概率；同时改变多组的联合提议用于跨组探索，其结果不进入单组敏感度计算。这样，后续选组的依据可以回溯到具体的配对执行。</w:t>
      </w:r>
    </w:p>
    <w:p w14:paraId="67706F87" w14:textId="77777777" w:rsidR="00C65BD9" w:rsidRDefault="003C66B1">
      <w:pPr>
        <w:spacing w:before="100" w:after="50"/>
      </w:pPr>
      <w:r>
        <w:t>在危险场景的多样性搜索方面，已有方法通过碰撞类型、行为网格或样本间距离组织测试结果。</w:t>
      </w:r>
    </w:p>
    <w:p w14:paraId="5F738B65" w14:textId="77777777" w:rsidR="00C65BD9" w:rsidRDefault="003C66B1">
      <w:pPr>
        <w:spacing w:after="60" w:line="264" w:lineRule="auto"/>
        <w:ind w:firstLine="420"/>
      </w:pPr>
      <w:r>
        <w:t>STRIVE</w:t>
      </w:r>
      <w:r>
        <w:t>在学习到的交通先验中优化事故场景，并按碰撞类型组织结果</w:t>
      </w:r>
      <w:r>
        <w:t>[6]</w:t>
      </w:r>
      <w:r>
        <w:t>。</w:t>
      </w:r>
      <w:r>
        <w:t>CaDRE</w:t>
      </w:r>
      <w:r>
        <w:t>把真实轨迹扰动写入质量与多样性搜索，通过行为网格档案与邻域空网格感知重启兼顾危险程度和行为差异</w:t>
      </w:r>
      <w:r>
        <w:t>[5]</w:t>
      </w:r>
      <w:r>
        <w:t>。</w:t>
      </w:r>
      <w:r>
        <w:t>WO2025190506A2</w:t>
      </w:r>
      <w:r>
        <w:t>根据车辆数据生成合理场景变体，并结合发生概率与严重程度组织覆盖</w:t>
      </w:r>
      <w:r>
        <w:t>[9]</w:t>
      </w:r>
      <w:r>
        <w:t>。</w:t>
      </w:r>
      <w:r>
        <w:t>PtoP</w:t>
      </w:r>
      <w:r>
        <w:t>利用危险模型与粒子排斥使测试种子分散</w:t>
      </w:r>
      <w:r>
        <w:t>[10]</w:t>
      </w:r>
      <w:r>
        <w:t>。</w:t>
      </w:r>
      <w:r>
        <w:t>CN116361175A</w:t>
      </w:r>
      <w:r>
        <w:t>根据自然驾驶特征分类、组合测试和风险指标将用例划入不同安全域</w:t>
      </w:r>
      <w:r>
        <w:t>[7]</w:t>
      </w:r>
      <w:r>
        <w:t>。</w:t>
      </w:r>
    </w:p>
    <w:p w14:paraId="6EB79D78" w14:textId="77777777" w:rsidR="00C65BD9" w:rsidRDefault="003C66B1">
      <w:pPr>
        <w:spacing w:after="60" w:line="264" w:lineRule="auto"/>
        <w:ind w:firstLine="420"/>
      </w:pPr>
      <w:r>
        <w:t>上述差异度量与分类适合描述样本分布，但分类边界不等于实际失效过程的边界。同一类别可以包含互不连通的失效实例，不同类别也可以由相连的失效实例构成。此外，同一抽样谱系的派生实例可以进入多个类别，逐类别限额无法限制其累计扩展次数。因此，本方法以中点实例的实际执行建立连通边，并使同一来源在全部已确认失效域中共用剩余名额。</w:t>
      </w:r>
    </w:p>
    <w:p w14:paraId="1521077F" w14:textId="77777777" w:rsidR="00C65BD9" w:rsidRDefault="003C66B1">
      <w:pPr>
        <w:spacing w:before="100" w:after="50"/>
      </w:pPr>
      <w:r>
        <w:lastRenderedPageBreak/>
        <w:t>综上，本方法需要解决的技术缺口在于：如何使单组风险反馈、由实际执行确认的失效域，以及跨域累计的谱系扩展次数，共同决定同一次后续仿真的输入。</w:t>
      </w:r>
    </w:p>
    <w:p w14:paraId="2F295334" w14:textId="77777777" w:rsidR="00C65BD9" w:rsidRDefault="003C66B1">
      <w:pPr>
        <w:spacing w:after="60" w:line="264" w:lineRule="auto"/>
        <w:ind w:firstLine="420"/>
      </w:pPr>
      <w:r>
        <w:t>为此，本发明把参数组选择概率与名额分配结果在行为生成接口汇合。名额确定父实例及扩展次数，参数组选择概率确定该次扩展改变的行为输入，来源标识与已用额度限制同一谱系继续占用的机会。三类信息均来自可重放的执行记录，并在新实例执行后按同一规则更新。</w:t>
      </w:r>
    </w:p>
    <w:p w14:paraId="5F69B0FB" w14:textId="77777777" w:rsidR="00C65BD9" w:rsidRDefault="003C66B1">
      <w:pPr>
        <w:spacing w:after="60" w:line="264" w:lineRule="auto"/>
        <w:ind w:firstLine="420"/>
      </w:pPr>
      <w:r>
        <w:t>条件生成模型在本方法中提供固定事件条件下的背景参考运动，其训练与长尾测试分布构建采用既有组件。本方法的具体技术关系在于：将单组变更风险差与联合提议分开统计，用实际中点评分建立失效连通图，并对同一来源跨全部失效域的后续执行名额累计约束，再由上述结果生成下一轮行为输入。</w:t>
      </w:r>
    </w:p>
    <w:tbl>
      <w:tblPr>
        <w:tblW w:w="93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80" w:type="dxa"/>
          <w:left w:w="90" w:type="dxa"/>
          <w:bottom w:w="80" w:type="dxa"/>
          <w:right w:w="90" w:type="dxa"/>
        </w:tblCellMar>
        <w:tblLook w:val="04A0" w:firstRow="1" w:lastRow="0" w:firstColumn="1" w:lastColumn="0" w:noHBand="0" w:noVBand="1"/>
      </w:tblPr>
      <w:tblGrid>
        <w:gridCol w:w="1600"/>
        <w:gridCol w:w="2400"/>
        <w:gridCol w:w="5300"/>
      </w:tblGrid>
      <w:tr w:rsidR="009F0F61" w14:paraId="2B65BCF8" w14:textId="77777777">
        <w:trPr>
          <w:tblHeader/>
        </w:trPr>
        <w:tc>
          <w:tcPr>
            <w:tcW w:w="1600" w:type="dxa"/>
            <w:shd w:val="clear" w:color="auto" w:fill="F2F2F2"/>
            <w:vAlign w:val="center"/>
          </w:tcPr>
          <w:p w14:paraId="3B540ED4" w14:textId="77777777" w:rsidR="009F0F61" w:rsidRDefault="00F555AD">
            <w:pPr>
              <w:spacing w:after="40" w:line="240" w:lineRule="auto"/>
            </w:pPr>
            <w:r>
              <w:t>文献范围</w:t>
            </w:r>
          </w:p>
        </w:tc>
        <w:tc>
          <w:tcPr>
            <w:tcW w:w="2400" w:type="dxa"/>
            <w:shd w:val="clear" w:color="auto" w:fill="F2F2F2"/>
            <w:vAlign w:val="center"/>
          </w:tcPr>
          <w:p w14:paraId="22C9BAED" w14:textId="77777777" w:rsidR="009F0F61" w:rsidRDefault="00F555AD">
            <w:pPr>
              <w:spacing w:after="40" w:line="240" w:lineRule="auto"/>
            </w:pPr>
            <w:r>
              <w:t>已有处理</w:t>
            </w:r>
          </w:p>
        </w:tc>
        <w:tc>
          <w:tcPr>
            <w:tcW w:w="5300" w:type="dxa"/>
            <w:shd w:val="clear" w:color="auto" w:fill="F2F2F2"/>
            <w:vAlign w:val="center"/>
          </w:tcPr>
          <w:p w14:paraId="3014DCC2" w14:textId="77777777" w:rsidR="009F0F61" w:rsidRDefault="00F555AD">
            <w:pPr>
              <w:spacing w:after="40" w:line="240" w:lineRule="auto"/>
            </w:pPr>
            <w:r>
              <w:t>本方法进一步限定的关系</w:t>
            </w:r>
          </w:p>
        </w:tc>
      </w:tr>
      <w:tr w:rsidR="009F0F61" w14:paraId="5FCF6E24" w14:textId="77777777">
        <w:tc>
          <w:tcPr>
            <w:tcW w:w="1600" w:type="dxa"/>
            <w:vAlign w:val="center"/>
          </w:tcPr>
          <w:p w14:paraId="790F3C4C" w14:textId="77777777" w:rsidR="009F0F61" w:rsidRDefault="00F555AD">
            <w:pPr>
              <w:spacing w:after="40" w:line="240" w:lineRule="auto"/>
            </w:pPr>
            <w:r>
              <w:t>[1][2]</w:t>
            </w:r>
          </w:p>
        </w:tc>
        <w:tc>
          <w:tcPr>
            <w:tcW w:w="2400" w:type="dxa"/>
            <w:vAlign w:val="center"/>
          </w:tcPr>
          <w:p w14:paraId="58893761" w14:textId="77777777" w:rsidR="009F0F61" w:rsidRDefault="00F555AD">
            <w:pPr>
              <w:spacing w:after="40" w:line="240" w:lineRule="auto"/>
            </w:pPr>
            <w:r>
              <w:t>日志重建与背景响应</w:t>
            </w:r>
          </w:p>
        </w:tc>
        <w:tc>
          <w:tcPr>
            <w:tcW w:w="5300" w:type="dxa"/>
            <w:vAlign w:val="center"/>
          </w:tcPr>
          <w:p w14:paraId="231E632D" w14:textId="77777777" w:rsidR="009F0F61" w:rsidRDefault="00F555AD">
            <w:pPr>
              <w:spacing w:after="40" w:line="240" w:lineRule="auto"/>
            </w:pPr>
            <w:r>
              <w:t>响应后实际轨迹进入单组反馈、连通核验及下一轮输入生成。</w:t>
            </w:r>
          </w:p>
        </w:tc>
      </w:tr>
      <w:tr w:rsidR="009F0F61" w14:paraId="6E518328" w14:textId="77777777">
        <w:tc>
          <w:tcPr>
            <w:tcW w:w="1600" w:type="dxa"/>
            <w:vAlign w:val="center"/>
          </w:tcPr>
          <w:p w14:paraId="33C14F25" w14:textId="77777777" w:rsidR="009F0F61" w:rsidRDefault="00F555AD">
            <w:pPr>
              <w:spacing w:after="40" w:line="240" w:lineRule="auto"/>
            </w:pPr>
            <w:r>
              <w:t>[3][4][8]</w:t>
            </w:r>
          </w:p>
        </w:tc>
        <w:tc>
          <w:tcPr>
            <w:tcW w:w="2400" w:type="dxa"/>
            <w:vAlign w:val="center"/>
          </w:tcPr>
          <w:p w14:paraId="1A05FFC8" w14:textId="77777777" w:rsidR="009F0F61" w:rsidRDefault="00F555AD">
            <w:pPr>
              <w:spacing w:after="40" w:line="240" w:lineRule="auto"/>
            </w:pPr>
            <w:r>
              <w:t>交互关系与反馈引导</w:t>
            </w:r>
          </w:p>
        </w:tc>
        <w:tc>
          <w:tcPr>
            <w:tcW w:w="5300" w:type="dxa"/>
            <w:vAlign w:val="center"/>
          </w:tcPr>
          <w:p w14:paraId="73325E1D" w14:textId="77777777" w:rsidR="009F0F61" w:rsidRDefault="00F555AD">
            <w:pPr>
              <w:spacing w:after="40" w:line="240" w:lineRule="auto"/>
            </w:pPr>
            <w:r>
              <w:t>固定其余输入的单组配对风险差；联合提议不进入单组归因。</w:t>
            </w:r>
          </w:p>
        </w:tc>
      </w:tr>
      <w:tr w:rsidR="009F0F61" w14:paraId="64EB7F10" w14:textId="77777777">
        <w:tc>
          <w:tcPr>
            <w:tcW w:w="1600" w:type="dxa"/>
            <w:vAlign w:val="center"/>
          </w:tcPr>
          <w:p w14:paraId="482182DA" w14:textId="77777777" w:rsidR="009F0F61" w:rsidRDefault="00F555AD">
            <w:pPr>
              <w:spacing w:after="40" w:line="240" w:lineRule="auto"/>
            </w:pPr>
            <w:r>
              <w:t>[5][6][7]</w:t>
            </w:r>
          </w:p>
        </w:tc>
        <w:tc>
          <w:tcPr>
            <w:tcW w:w="2400" w:type="dxa"/>
            <w:vAlign w:val="center"/>
          </w:tcPr>
          <w:p w14:paraId="48A5BFA2" w14:textId="77777777" w:rsidR="009F0F61" w:rsidRDefault="00F555AD">
            <w:pPr>
              <w:spacing w:after="40" w:line="240" w:lineRule="auto"/>
            </w:pPr>
            <w:r>
              <w:t>碰撞类型、行为网格与安全域</w:t>
            </w:r>
          </w:p>
        </w:tc>
        <w:tc>
          <w:tcPr>
            <w:tcW w:w="5300" w:type="dxa"/>
            <w:vAlign w:val="center"/>
          </w:tcPr>
          <w:p w14:paraId="19B58CE9" w14:textId="77777777" w:rsidR="009F0F61" w:rsidRDefault="00F555AD">
            <w:pPr>
              <w:spacing w:after="40" w:line="240" w:lineRule="auto"/>
            </w:pPr>
            <w:r>
              <w:t>实际中点执行建立连通边，按连通分量确认经验失效域。</w:t>
            </w:r>
          </w:p>
        </w:tc>
      </w:tr>
      <w:tr w:rsidR="009F0F61" w14:paraId="338D015C" w14:textId="77777777">
        <w:tc>
          <w:tcPr>
            <w:tcW w:w="1600" w:type="dxa"/>
            <w:vAlign w:val="center"/>
          </w:tcPr>
          <w:p w14:paraId="39768066" w14:textId="77777777" w:rsidR="009F0F61" w:rsidRDefault="00F555AD">
            <w:pPr>
              <w:spacing w:after="40" w:line="240" w:lineRule="auto"/>
            </w:pPr>
            <w:r>
              <w:t>[9][10]</w:t>
            </w:r>
          </w:p>
        </w:tc>
        <w:tc>
          <w:tcPr>
            <w:tcW w:w="2400" w:type="dxa"/>
            <w:vAlign w:val="center"/>
          </w:tcPr>
          <w:p w14:paraId="12289F00" w14:textId="77777777" w:rsidR="009F0F61" w:rsidRDefault="00F555AD">
            <w:pPr>
              <w:spacing w:after="40" w:line="240" w:lineRule="auto"/>
            </w:pPr>
            <w:r>
              <w:t>场景变体与样本分散</w:t>
            </w:r>
          </w:p>
        </w:tc>
        <w:tc>
          <w:tcPr>
            <w:tcW w:w="5300" w:type="dxa"/>
            <w:vAlign w:val="center"/>
          </w:tcPr>
          <w:p w14:paraId="3B688397" w14:textId="77777777" w:rsidR="009F0F61" w:rsidRDefault="00F555AD">
            <w:pPr>
              <w:spacing w:after="40" w:line="240" w:lineRule="auto"/>
            </w:pPr>
            <w:r>
              <w:t>同一来源跨域、跨轮共用搜索名额上限，并与域代表共同分配。</w:t>
            </w:r>
          </w:p>
        </w:tc>
      </w:tr>
    </w:tbl>
    <w:p w14:paraId="74B764C6" w14:textId="77777777" w:rsidR="00C65BD9" w:rsidRDefault="003C66B1">
      <w:pPr>
        <w:pStyle w:val="1"/>
        <w:spacing w:before="160" w:after="50"/>
      </w:pPr>
      <w:r>
        <w:t xml:space="preserve">3 </w:t>
      </w:r>
      <w:r>
        <w:t>发明构思</w:t>
      </w:r>
    </w:p>
    <w:p w14:paraId="3AA1E6BB" w14:textId="77777777" w:rsidR="00C65BD9" w:rsidRDefault="003C66B1">
      <w:pPr>
        <w:spacing w:after="60" w:line="264" w:lineRule="auto"/>
        <w:ind w:firstLine="420"/>
      </w:pPr>
      <w:r>
        <w:t>本发明以一次闭环执行的实际结果为依据，联合确定下一次执行从哪个实例出发、改变哪一组行为以及执行多少次。为使这一过程能够核对，固定事件条件、可变行为输入、实际轨迹与抽样谱系分别保存，并在输入生成时建立对应关系。</w:t>
      </w:r>
    </w:p>
    <w:p w14:paraId="701D75DD" w14:textId="77777777" w:rsidR="00C65BD9" w:rsidRDefault="003C66B1">
      <w:pPr>
        <w:spacing w:after="60" w:line="264" w:lineRule="auto"/>
        <w:ind w:firstLine="420"/>
      </w:pPr>
      <w:r>
        <w:t>对于行为变更方向，将原输入与仅改变一个参数组的输入从同一事件起点执行。两次执行的风险差反映该组在当前事件与被测策略下的影响，并用于更新后续选组概率。联合提议同时改变多个组，其结果用于探索和失效保存，不用于单组归因。</w:t>
      </w:r>
    </w:p>
    <w:p w14:paraId="353F88A3" w14:textId="77777777" w:rsidR="00C65BD9" w:rsidRDefault="003C66B1">
      <w:pPr>
        <w:spacing w:after="60" w:line="264" w:lineRule="auto"/>
        <w:ind w:firstLine="420"/>
      </w:pPr>
      <w:r>
        <w:t>对于不同失效过程，将已经失效的实例作为图节点，执行两个实例行为输入的中点。当中点得分不低于两端较小者时建立连通边，再按连通分量确定经验失效域。该判据提供有限采样下可重放的连通证据；一个中点没有通过判据，并不排除两个节点经其他已确认边相连。</w:t>
      </w:r>
    </w:p>
    <w:p w14:paraId="616997AD" w14:textId="77777777" w:rsidR="00C65BD9" w:rsidRDefault="003C66B1">
      <w:pPr>
        <w:spacing w:after="60" w:line="264" w:lineRule="auto"/>
        <w:ind w:firstLine="420"/>
      </w:pPr>
      <w:r>
        <w:t>对于同一抽样谱系的扩展次数，完整独立条件抽样建立来源标识，局部变更、联合提议与跨域移动继承该标识。每个来源维护已用搜索名额；同一来源分布在不同失效域中的候选共用剩余名额，不能通过改变类别或失效域重新取得上限。</w:t>
      </w:r>
    </w:p>
    <w:p w14:paraId="2AECA61C" w14:textId="77777777" w:rsidR="00C65BD9" w:rsidRDefault="003C66B1">
      <w:pPr>
        <w:spacing w:after="60" w:line="264" w:lineRule="auto"/>
        <w:ind w:firstLine="420"/>
      </w:pPr>
      <w:r>
        <w:t>三类信息在生成下一轮行为输入时共同生效。分配器先在来源剩余额度内为已确认失效域保留代表，再填充其他准入候选的名额；行为生成模块根据父实例与名额，按已更新的组概率产生单组提议或按预设分支产生联合提议；执行结果用于更新风险、连通证据和来源已用额度，并进入下一轮。</w:t>
      </w:r>
    </w:p>
    <w:p w14:paraId="53AD46FA" w14:textId="77777777" w:rsidR="00C65BD9" w:rsidRDefault="003C66B1">
      <w:pPr>
        <w:pStyle w:val="1"/>
        <w:spacing w:before="160" w:after="50"/>
      </w:pPr>
      <w:r>
        <w:lastRenderedPageBreak/>
        <w:t xml:space="preserve">4 </w:t>
      </w:r>
      <w:r>
        <w:t>技术方案概述</w:t>
      </w:r>
    </w:p>
    <w:p w14:paraId="3988D79C" w14:textId="77777777" w:rsidR="00C65BD9" w:rsidRDefault="003C66B1">
      <w:pPr>
        <w:spacing w:after="60" w:line="264" w:lineRule="auto"/>
        <w:ind w:firstLine="420"/>
      </w:pPr>
      <w:r>
        <w:t>本方法由包括处理器、存储器与交通仿真接口的测试设备执行。处理器调用冻结的场景生成模型、背景驾驶模型与当前被测策略；存储器保存自然事件固定条件、参数组数组、执行轨迹、来源谱系与失效档案。总体流程见图</w:t>
      </w:r>
      <w:r>
        <w:t>1</w:t>
      </w:r>
      <w:r>
        <w:t>。</w:t>
      </w:r>
    </w:p>
    <w:p w14:paraId="51C46000" w14:textId="77777777" w:rsidR="00C65BD9" w:rsidRDefault="003C66B1">
      <w:pPr>
        <w:spacing w:after="60" w:line="264" w:lineRule="auto"/>
        <w:ind w:firstLine="420"/>
      </w:pPr>
      <w:r>
        <w:t>S101</w:t>
      </w:r>
      <w:r>
        <w:t>，构建事件条件。从连续自然驾驶记录中截取完整多车交互窗口，检查采样连续性、车辆尺寸、位置跳变、加速度、初始占用与道路有效性，计算事件风险并选择目标事件，保存道路几何、稳定车辆身份、尺寸、起始状态及有效历史掩码。</w:t>
      </w:r>
    </w:p>
    <w:p w14:paraId="75A3C227" w14:textId="77777777" w:rsidR="00C65BD9" w:rsidRDefault="003C66B1">
      <w:pPr>
        <w:spacing w:after="60" w:line="264" w:lineRule="auto"/>
        <w:ind w:firstLine="420"/>
      </w:pPr>
      <w:r>
        <w:t>S102</w:t>
      </w:r>
      <w:r>
        <w:t>，建立行为参数组并生成参考运动。在固定事件条件下，按车辆身份、物理帧与变量类型把允许变化的行为输入划分为参数组；由冻结的条件生成模型产生背景车辆参考运动；每次完整独立条件抽样建立新的来源标识。</w:t>
      </w:r>
    </w:p>
    <w:p w14:paraId="265C506D" w14:textId="77777777" w:rsidR="00C65BD9" w:rsidRDefault="003C66B1">
      <w:pPr>
        <w:spacing w:after="60" w:line="264" w:lineRule="auto"/>
        <w:ind w:firstLine="420"/>
      </w:pPr>
      <w:r>
        <w:t>S103</w:t>
      </w:r>
      <w:r>
        <w:t>，交互式执行。每个物理步依据当前实际联合状态计算背景车辆基准动作与参考适用性；参考不再适用时承接当前运动与已开始的机动，由响应控制器接管；背景动作与被测车辆动作经统一动力学推进，输出实际轨迹、风险、失效标签及关键车辆、关键时刻。</w:t>
      </w:r>
    </w:p>
    <w:p w14:paraId="3E861B9F" w14:textId="77777777" w:rsidR="00C65BD9" w:rsidRDefault="003C66B1">
      <w:pPr>
        <w:spacing w:after="60" w:line="264" w:lineRule="auto"/>
        <w:ind w:firstLine="420"/>
      </w:pPr>
      <w:r>
        <w:t>S104</w:t>
      </w:r>
      <w:r>
        <w:t>，更新参数组选择概率。保持事件、策略、环境参数、其余参数组与随机实现一致，仅替换一组，从事件起点重新执行，以有效配对的实际风险差更新该组敏感度与选择概率；联合置换单列记录、不计入风险差。</w:t>
      </w:r>
    </w:p>
    <w:p w14:paraId="39DE7B2E" w14:textId="77777777" w:rsidR="00C65BD9" w:rsidRDefault="003C66B1">
      <w:pPr>
        <w:spacing w:after="60" w:line="264" w:lineRule="auto"/>
        <w:ind w:firstLine="420"/>
      </w:pPr>
      <w:r>
        <w:t>S105</w:t>
      </w:r>
      <w:r>
        <w:t>，识别失效域并分配后续执行名额。对已经失效的实例以实际中点执行建立连通图；对未失效高风险候选记录目标失效域。提高风险门槛形成准入集合，在同一来源跨全部失效域的剩余额度内，先为已确认失效域选取代表，再分配其余候选的执行名额。</w:t>
      </w:r>
    </w:p>
    <w:p w14:paraId="27285414" w14:textId="77777777" w:rsidR="00C65BD9" w:rsidRDefault="003C66B1">
      <w:pPr>
        <w:spacing w:after="60" w:line="264" w:lineRule="auto"/>
        <w:ind w:firstLine="420"/>
      </w:pPr>
      <w:r>
        <w:t>S106</w:t>
      </w:r>
      <w:r>
        <w:t>，保存失效与复现材料。对有效执行中的实际失效保存完整输入、实际轨迹与版本信息；达到预算或终止条件后输出失效档案、测试记录与覆盖统计。所述档案可用于已有策略的定向更新。</w:t>
      </w:r>
    </w:p>
    <w:p w14:paraId="512E37DD" w14:textId="77777777" w:rsidR="00C65BD9" w:rsidRDefault="003C66B1">
      <w:pPr>
        <w:keepNext/>
        <w:spacing w:before="80" w:after="20"/>
        <w:jc w:val="center"/>
      </w:pPr>
      <w:r>
        <w:rPr>
          <w:noProof/>
        </w:rPr>
        <w:drawing>
          <wp:inline distT="0" distB="0" distL="0" distR="0" wp14:anchorId="747289DA" wp14:editId="691F5592">
            <wp:extent cx="5472000" cy="222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low.png"/>
                    <pic:cNvPicPr/>
                  </pic:nvPicPr>
                  <pic:blipFill>
                    <a:blip r:embed="rId8"/>
                    <a:stretch>
                      <a:fillRect/>
                    </a:stretch>
                  </pic:blipFill>
                  <pic:spPr>
                    <a:xfrm>
                      <a:off x="0" y="0"/>
                      <a:ext cx="5472000" cy="2223000"/>
                    </a:xfrm>
                    <a:prstGeom prst="rect">
                      <a:avLst/>
                    </a:prstGeom>
                  </pic:spPr>
                </pic:pic>
              </a:graphicData>
            </a:graphic>
          </wp:inline>
        </w:drawing>
      </w:r>
    </w:p>
    <w:p w14:paraId="752206C1" w14:textId="77777777" w:rsidR="00C65BD9" w:rsidRDefault="003C66B1">
      <w:pPr>
        <w:keepNext/>
        <w:spacing w:after="40"/>
        <w:jc w:val="center"/>
      </w:pPr>
      <w:r>
        <w:rPr>
          <w:b/>
        </w:rPr>
        <w:t>图</w:t>
      </w:r>
      <w:r>
        <w:rPr>
          <w:b/>
        </w:rPr>
        <w:t xml:space="preserve">1  </w:t>
      </w:r>
      <w:r>
        <w:rPr>
          <w:b/>
        </w:rPr>
        <w:t>自然驾驶事件约束的多失效域测试流程</w:t>
      </w:r>
    </w:p>
    <w:p w14:paraId="356A026A" w14:textId="77777777" w:rsidR="00C65BD9" w:rsidRDefault="003C66B1">
      <w:pPr>
        <w:spacing w:after="100" w:line="264" w:lineRule="auto"/>
      </w:pPr>
      <w:r>
        <w:t>S101</w:t>
      </w:r>
      <w:r>
        <w:t>至</w:t>
      </w:r>
      <w:r>
        <w:t>S105</w:t>
      </w:r>
      <w:r>
        <w:t>依次得到固定条件、可变参数组、实际轨迹、单组风险反馈与后续执行名额。组概率和名额共同进入下一轮行为生成，再由</w:t>
      </w:r>
      <w:r>
        <w:t>S103</w:t>
      </w:r>
      <w:r>
        <w:t>执行。局部提议继承来源标识；独立抽样建立新标识；所有有效失效均保存完整复现材料。</w:t>
      </w:r>
    </w:p>
    <w:p w14:paraId="3EEB705A" w14:textId="77777777" w:rsidR="00C65BD9" w:rsidRDefault="003C66B1">
      <w:pPr>
        <w:pStyle w:val="1"/>
        <w:spacing w:before="160" w:after="50"/>
      </w:pPr>
      <w:r>
        <w:lastRenderedPageBreak/>
        <w:t xml:space="preserve">5 </w:t>
      </w:r>
      <w:r>
        <w:t>具体实施方式</w:t>
      </w:r>
    </w:p>
    <w:p w14:paraId="69421059" w14:textId="77777777" w:rsidR="00C65BD9" w:rsidRDefault="003C66B1">
      <w:pPr>
        <w:pStyle w:val="21"/>
        <w:spacing w:before="100" w:after="50"/>
      </w:pPr>
      <w:r>
        <w:t xml:space="preserve">5.1 </w:t>
      </w:r>
      <w:r>
        <w:t>数据对象、固定条件与重放约定</w:t>
      </w:r>
    </w:p>
    <w:p w14:paraId="267A1680" w14:textId="77777777" w:rsidR="00C65BD9" w:rsidRDefault="003C66B1">
      <w:pPr>
        <w:spacing w:after="60" w:line="264" w:lineRule="auto"/>
        <w:ind w:firstLine="420"/>
      </w:pPr>
      <w:r>
        <w:t>为使行为变化能够逐组核对，固定条件、可变输入与执行结果分别保存。下表列出主要数据对象；参数组的维度、作用范围与可变性随后单独说明。</w:t>
      </w:r>
    </w:p>
    <w:tbl>
      <w:tblPr>
        <w:tblStyle w:val="aff1"/>
        <w:tblW w:w="0" w:type="auto"/>
        <w:jc w:val="center"/>
        <w:tblLayout w:type="fixed"/>
        <w:tblLook w:val="04A0" w:firstRow="1" w:lastRow="0" w:firstColumn="1" w:lastColumn="0" w:noHBand="0" w:noVBand="1"/>
      </w:tblPr>
      <w:tblGrid>
        <w:gridCol w:w="2041"/>
        <w:gridCol w:w="1474"/>
        <w:gridCol w:w="5669"/>
      </w:tblGrid>
      <w:tr w:rsidR="00C65BD9" w14:paraId="12BADABC" w14:textId="77777777">
        <w:trPr>
          <w:cantSplit/>
          <w:tblHeader/>
          <w:jc w:val="center"/>
        </w:trPr>
        <w:tc>
          <w:tcPr>
            <w:tcW w:w="2041" w:type="dxa"/>
            <w:shd w:val="clear" w:color="auto" w:fill="EDEDED"/>
            <w:vAlign w:val="center"/>
          </w:tcPr>
          <w:p w14:paraId="34BE031E" w14:textId="77777777" w:rsidR="00C65BD9" w:rsidRDefault="003C66B1">
            <w:pPr>
              <w:spacing w:before="50" w:after="50" w:line="252" w:lineRule="auto"/>
            </w:pPr>
            <w:r>
              <w:rPr>
                <w:b/>
              </w:rPr>
              <w:t>对象</w:t>
            </w:r>
          </w:p>
        </w:tc>
        <w:tc>
          <w:tcPr>
            <w:tcW w:w="1474" w:type="dxa"/>
            <w:shd w:val="clear" w:color="auto" w:fill="EDEDED"/>
            <w:vAlign w:val="center"/>
          </w:tcPr>
          <w:p w14:paraId="788A6ED6" w14:textId="77777777" w:rsidR="00C65BD9" w:rsidRDefault="003C66B1">
            <w:pPr>
              <w:spacing w:before="50" w:after="50" w:line="252" w:lineRule="auto"/>
            </w:pPr>
            <w:r>
              <w:rPr>
                <w:b/>
              </w:rPr>
              <w:t>符号</w:t>
            </w:r>
          </w:p>
        </w:tc>
        <w:tc>
          <w:tcPr>
            <w:tcW w:w="5669" w:type="dxa"/>
            <w:shd w:val="clear" w:color="auto" w:fill="EDEDED"/>
            <w:vAlign w:val="center"/>
          </w:tcPr>
          <w:p w14:paraId="71CAF8E2" w14:textId="77777777" w:rsidR="00C65BD9" w:rsidRDefault="003C66B1">
            <w:pPr>
              <w:spacing w:before="50" w:after="50" w:line="252" w:lineRule="auto"/>
            </w:pPr>
            <w:r>
              <w:rPr>
                <w:b/>
              </w:rPr>
              <w:t>内容与用途</w:t>
            </w:r>
          </w:p>
        </w:tc>
      </w:tr>
      <w:tr w:rsidR="00C65BD9" w14:paraId="60E77ECA" w14:textId="77777777">
        <w:trPr>
          <w:cantSplit/>
          <w:jc w:val="center"/>
        </w:trPr>
        <w:tc>
          <w:tcPr>
            <w:tcW w:w="2041" w:type="dxa"/>
            <w:vAlign w:val="center"/>
          </w:tcPr>
          <w:p w14:paraId="25660FAD" w14:textId="77777777" w:rsidR="00C65BD9" w:rsidRDefault="003C66B1">
            <w:pPr>
              <w:spacing w:before="50" w:after="50" w:line="252" w:lineRule="auto"/>
            </w:pPr>
            <w:r>
              <w:t>自然事件</w:t>
            </w:r>
          </w:p>
        </w:tc>
        <w:tc>
          <w:tcPr>
            <w:tcW w:w="1474" w:type="dxa"/>
            <w:vAlign w:val="center"/>
          </w:tcPr>
          <w:p w14:paraId="57742E39" w14:textId="77777777" w:rsidR="00C65BD9" w:rsidRDefault="003C66B1">
            <w:pPr>
              <w:spacing w:before="50" w:after="50" w:line="252" w:lineRule="auto"/>
            </w:pPr>
            <m:oMathPara>
              <m:oMath>
                <m:r>
                  <w:rPr>
                    <w:rFonts w:ascii="Cambria Math" w:hAnsi="Cambria Math"/>
                  </w:rPr>
                  <m:t>e</m:t>
                </m:r>
              </m:oMath>
            </m:oMathPara>
          </w:p>
        </w:tc>
        <w:tc>
          <w:tcPr>
            <w:tcW w:w="5669" w:type="dxa"/>
            <w:vAlign w:val="center"/>
          </w:tcPr>
          <w:p w14:paraId="1F1E1A66" w14:textId="77777777" w:rsidR="00C65BD9" w:rsidRDefault="003C66B1">
            <w:pPr>
              <w:spacing w:before="50" w:after="50" w:line="252" w:lineRule="auto"/>
            </w:pPr>
            <w:r>
              <w:t>道路几何、稳定车辆身份、尺寸、起始状态、有效历史及记录轨迹。</w:t>
            </w:r>
          </w:p>
        </w:tc>
      </w:tr>
      <w:tr w:rsidR="00C65BD9" w14:paraId="4E14D2CD" w14:textId="77777777">
        <w:trPr>
          <w:cantSplit/>
          <w:jc w:val="center"/>
        </w:trPr>
        <w:tc>
          <w:tcPr>
            <w:tcW w:w="2041" w:type="dxa"/>
            <w:vAlign w:val="center"/>
          </w:tcPr>
          <w:p w14:paraId="2BF7ED04" w14:textId="77777777" w:rsidR="00C65BD9" w:rsidRDefault="003C66B1">
            <w:pPr>
              <w:spacing w:before="50" w:after="50" w:line="252" w:lineRule="auto"/>
            </w:pPr>
            <w:r>
              <w:t>事件固定条件</w:t>
            </w:r>
          </w:p>
        </w:tc>
        <w:tc>
          <w:tcPr>
            <w:tcW w:w="1474" w:type="dxa"/>
            <w:vAlign w:val="center"/>
          </w:tcPr>
          <w:p w14:paraId="614C7FED" w14:textId="77777777" w:rsidR="00C65BD9" w:rsidRDefault="00F555AD">
            <w:pPr>
              <w:spacing w:before="50" w:after="50" w:line="252" w:lineRule="auto"/>
            </w:pPr>
            <m:oMathPara>
              <m:oMath>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oMath>
            </m:oMathPara>
          </w:p>
        </w:tc>
        <w:tc>
          <w:tcPr>
            <w:tcW w:w="5669" w:type="dxa"/>
            <w:vAlign w:val="center"/>
          </w:tcPr>
          <w:p w14:paraId="4ED4A042" w14:textId="77777777" w:rsidR="00C65BD9" w:rsidRDefault="003C66B1">
            <w:pPr>
              <w:spacing w:before="50" w:after="50" w:line="252" w:lineRule="auto"/>
            </w:pPr>
            <w:r>
              <w:t>初始运动关系、有效背景位置掩码及全部车辆长宽；在同一事件的全部搜索和诊断执行中固定。</w:t>
            </w:r>
          </w:p>
        </w:tc>
      </w:tr>
      <w:tr w:rsidR="00C65BD9" w14:paraId="30E0D216" w14:textId="77777777">
        <w:trPr>
          <w:cantSplit/>
          <w:jc w:val="center"/>
        </w:trPr>
        <w:tc>
          <w:tcPr>
            <w:tcW w:w="2041" w:type="dxa"/>
            <w:vAlign w:val="center"/>
          </w:tcPr>
          <w:p w14:paraId="0FE7DF9D" w14:textId="77777777" w:rsidR="00C65BD9" w:rsidRDefault="003C66B1">
            <w:pPr>
              <w:spacing w:before="50" w:after="50" w:line="252" w:lineRule="auto"/>
            </w:pPr>
            <w:r>
              <w:t>行为参数</w:t>
            </w:r>
          </w:p>
        </w:tc>
        <w:tc>
          <w:tcPr>
            <w:tcW w:w="1474" w:type="dxa"/>
            <w:vAlign w:val="center"/>
          </w:tcPr>
          <w:p w14:paraId="4D7A350B" w14:textId="77777777" w:rsidR="00C65BD9" w:rsidRDefault="003C66B1">
            <w:pPr>
              <w:spacing w:before="50" w:after="50" w:line="252" w:lineRule="auto"/>
            </w:pPr>
            <m:oMathPara>
              <m:oMath>
                <m:r>
                  <w:rPr>
                    <w:rFonts w:ascii="Cambria Math" w:hAnsi="Cambria Math"/>
                  </w:rPr>
                  <m:t>ω</m:t>
                </m:r>
                <m:r>
                  <m:rPr>
                    <m:sty m:val="p"/>
                  </m:rPr>
                  <w:rPr>
                    <w:rFonts w:ascii="Cambria Math" w:hAnsi="Cambria Math"/>
                  </w:rPr>
                  <m:t>,</m:t>
                </m:r>
                <m:sSub>
                  <m:sSubPr>
                    <m:ctrlPr>
                      <w:rPr>
                        <w:rFonts w:ascii="Cambria Math" w:hAnsi="Cambria Math"/>
                      </w:rPr>
                    </m:ctrlPr>
                  </m:sSubPr>
                  <m:e>
                    <m:r>
                      <m:rPr>
                        <m:scr m:val="script"/>
                      </m:rPr>
                      <w:rPr>
                        <w:rFonts w:ascii="Cambria Math" w:hAnsi="Cambria Math"/>
                      </w:rPr>
                      <m:t>B</m:t>
                    </m:r>
                  </m:e>
                  <m:sub>
                    <m:r>
                      <w:rPr>
                        <w:rFonts w:ascii="Cambria Math" w:hAnsi="Cambria Math"/>
                      </w:rPr>
                      <m:t>e</m:t>
                    </m:r>
                  </m:sub>
                </m:sSub>
              </m:oMath>
            </m:oMathPara>
          </w:p>
        </w:tc>
        <w:tc>
          <w:tcPr>
            <w:tcW w:w="5669" w:type="dxa"/>
            <w:vAlign w:val="center"/>
          </w:tcPr>
          <w:p w14:paraId="6451CAE0" w14:textId="77777777" w:rsidR="00C65BD9" w:rsidRDefault="003C66B1">
            <w:pPr>
              <w:spacing w:before="50" w:after="50" w:line="252" w:lineRule="auto"/>
            </w:pPr>
            <w:r>
              <w:t>完整行为输入，以及当前事件中允许局部变更的参数组索引集合。</w:t>
            </w:r>
          </w:p>
        </w:tc>
      </w:tr>
      <w:tr w:rsidR="00C65BD9" w14:paraId="13A3A897" w14:textId="77777777">
        <w:trPr>
          <w:cantSplit/>
          <w:jc w:val="center"/>
        </w:trPr>
        <w:tc>
          <w:tcPr>
            <w:tcW w:w="2041" w:type="dxa"/>
            <w:vAlign w:val="center"/>
          </w:tcPr>
          <w:p w14:paraId="3BE8603F" w14:textId="77777777" w:rsidR="00C65BD9" w:rsidRDefault="003C66B1">
            <w:pPr>
              <w:spacing w:before="50" w:after="50" w:line="252" w:lineRule="auto"/>
            </w:pPr>
            <w:r>
              <w:t>执行配置</w:t>
            </w:r>
          </w:p>
        </w:tc>
        <w:tc>
          <w:tcPr>
            <w:tcW w:w="1474" w:type="dxa"/>
            <w:vAlign w:val="center"/>
          </w:tcPr>
          <w:p w14:paraId="5CC12AF3" w14:textId="77777777" w:rsidR="00C65BD9" w:rsidRDefault="003C66B1">
            <w:pPr>
              <w:spacing w:before="50" w:after="50" w:line="252" w:lineRule="auto"/>
            </w:pPr>
            <m:oMathPara>
              <m:oMath>
                <m:r>
                  <w:rPr>
                    <w:rFonts w:ascii="Cambria Math" w:hAnsi="Cambria Math"/>
                  </w:rPr>
                  <m:t>θ</m:t>
                </m:r>
                <m:r>
                  <m:rPr>
                    <m:sty m:val="p"/>
                  </m:rPr>
                  <w:rPr>
                    <w:rFonts w:ascii="Cambria Math" w:hAnsi="Cambria Math"/>
                  </w:rPr>
                  <m:t>,</m:t>
                </m:r>
                <m:r>
                  <w:rPr>
                    <w:rFonts w:ascii="Cambria Math" w:hAnsi="Cambria Math"/>
                  </w:rPr>
                  <m:t>π</m:t>
                </m:r>
              </m:oMath>
            </m:oMathPara>
          </w:p>
        </w:tc>
        <w:tc>
          <w:tcPr>
            <w:tcW w:w="5669" w:type="dxa"/>
            <w:vAlign w:val="center"/>
          </w:tcPr>
          <w:p w14:paraId="799992DA" w14:textId="77777777" w:rsidR="00C65BD9" w:rsidRDefault="003C66B1">
            <w:pPr>
              <w:spacing w:before="50" w:after="50" w:line="252" w:lineRule="auto"/>
            </w:pPr>
            <w:r>
              <w:t>固定的生成、背景响应、控制与动力学配置，以及本轮被测策略。</w:t>
            </w:r>
          </w:p>
        </w:tc>
      </w:tr>
      <w:tr w:rsidR="00C65BD9" w14:paraId="094794E0" w14:textId="77777777">
        <w:trPr>
          <w:cantSplit/>
          <w:jc w:val="center"/>
        </w:trPr>
        <w:tc>
          <w:tcPr>
            <w:tcW w:w="2041" w:type="dxa"/>
            <w:vAlign w:val="center"/>
          </w:tcPr>
          <w:p w14:paraId="088751D8" w14:textId="77777777" w:rsidR="00C65BD9" w:rsidRDefault="003C66B1">
            <w:pPr>
              <w:spacing w:before="50" w:after="50" w:line="252" w:lineRule="auto"/>
            </w:pPr>
            <w:r>
              <w:t>执行结果</w:t>
            </w:r>
          </w:p>
        </w:tc>
        <w:tc>
          <w:tcPr>
            <w:tcW w:w="1474" w:type="dxa"/>
            <w:vAlign w:val="center"/>
          </w:tcPr>
          <w:p w14:paraId="4A5B8CA8" w14:textId="77777777" w:rsidR="00C65BD9" w:rsidRDefault="003C66B1">
            <w:pPr>
              <w:spacing w:before="50" w:after="50" w:line="252" w:lineRule="auto"/>
            </w:pPr>
            <m:oMathPara>
              <m:oMath>
                <m:r>
                  <w:rPr>
                    <w:rFonts w:ascii="Cambria Math" w:hAnsi="Cambria Math"/>
                  </w:rPr>
                  <m:t>τ</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f</m:t>
                </m:r>
              </m:oMath>
            </m:oMathPara>
          </w:p>
        </w:tc>
        <w:tc>
          <w:tcPr>
            <w:tcW w:w="5669" w:type="dxa"/>
            <w:vAlign w:val="center"/>
          </w:tcPr>
          <w:p w14:paraId="352FE3EC" w14:textId="77777777" w:rsidR="00C65BD9" w:rsidRDefault="003C66B1">
            <w:pPr>
              <w:spacing w:before="50" w:after="50" w:line="252" w:lineRule="auto"/>
            </w:pPr>
            <w:r>
              <w:t>实际联合状态序列、非负事件风险，以及按固定规则计算的二值失效标签。</w:t>
            </w:r>
          </w:p>
        </w:tc>
      </w:tr>
      <w:tr w:rsidR="00C65BD9" w14:paraId="0D766A26" w14:textId="77777777">
        <w:trPr>
          <w:cantSplit/>
          <w:jc w:val="center"/>
        </w:trPr>
        <w:tc>
          <w:tcPr>
            <w:tcW w:w="2041" w:type="dxa"/>
            <w:vAlign w:val="center"/>
          </w:tcPr>
          <w:p w14:paraId="1A271B70" w14:textId="77777777" w:rsidR="00C65BD9" w:rsidRDefault="003C66B1">
            <w:pPr>
              <w:spacing w:before="50" w:after="50" w:line="252" w:lineRule="auto"/>
            </w:pPr>
            <w:r>
              <w:t>域标识与来源标识</w:t>
            </w:r>
          </w:p>
        </w:tc>
        <w:tc>
          <w:tcPr>
            <w:tcW w:w="1474" w:type="dxa"/>
            <w:vAlign w:val="center"/>
          </w:tcPr>
          <w:p w14:paraId="695444CB" w14:textId="77777777" w:rsidR="00C65BD9" w:rsidRDefault="003C66B1">
            <w:pPr>
              <w:spacing w:before="50" w:after="50" w:line="252" w:lineRule="auto"/>
            </w:pPr>
            <m:oMathPara>
              <m:oMath>
                <m:r>
                  <w:rPr>
                    <w:rFonts w:ascii="Cambria Math" w:hAnsi="Cambria Math"/>
                  </w:rPr>
                  <m:t>g,</m:t>
                </m:r>
                <m:acc>
                  <m:accPr>
                    <m:ctrlPr>
                      <w:rPr>
                        <w:rFonts w:ascii="Cambria Math" w:hAnsi="Cambria Math"/>
                      </w:rPr>
                    </m:ctrlPr>
                  </m:accPr>
                  <m:e>
                    <m:r>
                      <w:rPr>
                        <w:rFonts w:ascii="Cambria Math" w:hAnsi="Cambria Math"/>
                      </w:rPr>
                      <m:t>g</m:t>
                    </m:r>
                  </m:e>
                </m:acc>
                <m:r>
                  <w:rPr>
                    <w:rFonts w:ascii="Cambria Math" w:hAnsi="Cambria Math"/>
                  </w:rPr>
                  <m:t>,α</m:t>
                </m:r>
              </m:oMath>
            </m:oMathPara>
          </w:p>
        </w:tc>
        <w:tc>
          <w:tcPr>
            <w:tcW w:w="5669" w:type="dxa"/>
            <w:vAlign w:val="center"/>
          </w:tcPr>
          <w:p w14:paraId="60E006EC" w14:textId="77777777" w:rsidR="00C65BD9" w:rsidRDefault="003C66B1">
            <w:pPr>
              <w:spacing w:before="50" w:after="50" w:line="252" w:lineRule="auto"/>
            </w:pPr>
            <m:oMath>
              <m:r>
                <w:rPr>
                  <w:rFonts w:ascii="Cambria Math" w:hAnsi="Cambria Math"/>
                </w:rPr>
                <m:t>g</m:t>
              </m:r>
            </m:oMath>
            <w:r>
              <w:t>为已确认失效域，</w:t>
            </w:r>
            <m:oMath>
              <m:acc>
                <m:accPr>
                  <m:ctrlPr>
                    <w:rPr>
                      <w:rFonts w:ascii="Cambria Math" w:hAnsi="Cambria Math"/>
                    </w:rPr>
                  </m:ctrlPr>
                </m:accPr>
                <m:e>
                  <m:r>
                    <w:rPr>
                      <w:rFonts w:ascii="Cambria Math" w:hAnsi="Cambria Math"/>
                    </w:rPr>
                    <m:t>g</m:t>
                  </m:r>
                </m:e>
              </m:acc>
            </m:oMath>
            <w:r>
              <w:t>为候选拟扩展的目标失效域，</w:t>
            </w:r>
            <m:oMath>
              <m:r>
                <w:rPr>
                  <w:rFonts w:ascii="Cambria Math" w:hAnsi="Cambria Math"/>
                </w:rPr>
                <m:t>α</m:t>
              </m:r>
            </m:oMath>
            <w:r>
              <w:t>为完整独立条件抽样的谱系标识。</w:t>
            </w:r>
          </w:p>
        </w:tc>
      </w:tr>
      <w:tr w:rsidR="00C65BD9" w14:paraId="190EB239" w14:textId="77777777">
        <w:trPr>
          <w:cantSplit/>
          <w:jc w:val="center"/>
        </w:trPr>
        <w:tc>
          <w:tcPr>
            <w:tcW w:w="2041" w:type="dxa"/>
            <w:vAlign w:val="center"/>
          </w:tcPr>
          <w:p w14:paraId="12D2E230" w14:textId="77777777" w:rsidR="00C65BD9" w:rsidRDefault="003C66B1">
            <w:pPr>
              <w:spacing w:before="50" w:after="50" w:line="252" w:lineRule="auto"/>
            </w:pPr>
            <w:r>
              <w:t>搜索层</w:t>
            </w:r>
          </w:p>
        </w:tc>
        <w:tc>
          <w:tcPr>
            <w:tcW w:w="1474" w:type="dxa"/>
            <w:vAlign w:val="center"/>
          </w:tcPr>
          <w:p w14:paraId="3F3C0F9F" w14:textId="77777777" w:rsidR="00C65BD9" w:rsidRDefault="003C66B1">
            <w:pPr>
              <w:spacing w:before="50" w:after="50" w:line="252" w:lineRule="auto"/>
            </w:pPr>
            <m:oMathPara>
              <m:oMath>
                <m:r>
                  <m:rPr>
                    <m:scr m:val="script"/>
                  </m:rP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γ</m:t>
                    </m:r>
                  </m:e>
                  <m:sub>
                    <m:r>
                      <m:rPr>
                        <m:scr m:val="script"/>
                      </m:rPr>
                      <w:rPr>
                        <w:rFonts w:ascii="Cambria Math" w:hAnsi="Cambria Math"/>
                      </w:rPr>
                      <m:t>l</m:t>
                    </m:r>
                  </m:sub>
                </m:sSub>
              </m:oMath>
            </m:oMathPara>
          </w:p>
        </w:tc>
        <w:tc>
          <w:tcPr>
            <w:tcW w:w="5669" w:type="dxa"/>
            <w:vAlign w:val="center"/>
          </w:tcPr>
          <w:p w14:paraId="7E302BD6" w14:textId="77777777" w:rsidR="00C65BD9" w:rsidRDefault="003C66B1">
            <w:pPr>
              <w:spacing w:before="50" w:after="50" w:line="252" w:lineRule="auto"/>
            </w:pPr>
            <w:r>
              <w:t>当前风险层及该层准入所需的最小分层得分。</w:t>
            </w:r>
          </w:p>
        </w:tc>
      </w:tr>
      <w:tr w:rsidR="00C65BD9" w14:paraId="36726F9E" w14:textId="77777777">
        <w:trPr>
          <w:cantSplit/>
          <w:jc w:val="center"/>
        </w:trPr>
        <w:tc>
          <w:tcPr>
            <w:tcW w:w="2041" w:type="dxa"/>
            <w:vAlign w:val="center"/>
          </w:tcPr>
          <w:p w14:paraId="63D7E363" w14:textId="77777777" w:rsidR="00C65BD9" w:rsidRDefault="003C66B1">
            <w:pPr>
              <w:spacing w:before="50" w:after="50" w:line="252" w:lineRule="auto"/>
            </w:pPr>
            <w:r>
              <w:t>准入候选</w:t>
            </w:r>
          </w:p>
        </w:tc>
        <w:tc>
          <w:tcPr>
            <w:tcW w:w="1474" w:type="dxa"/>
            <w:vAlign w:val="center"/>
          </w:tcPr>
          <w:p w14:paraId="6C3B2D05" w14:textId="77777777" w:rsidR="00C65BD9" w:rsidRDefault="00F555AD">
            <w:pPr>
              <w:spacing w:before="50" w:after="50" w:line="252" w:lineRule="auto"/>
            </w:pPr>
            <m:oMathPara>
              <m:oMath>
                <m:sSub>
                  <m:sSubPr>
                    <m:ctrlPr>
                      <w:rPr>
                        <w:rFonts w:ascii="Cambria Math" w:hAnsi="Cambria Math"/>
                      </w:rPr>
                    </m:ctrlPr>
                  </m:sSubPr>
                  <m:e>
                    <m:r>
                      <m:rPr>
                        <m:scr m:val="script"/>
                      </m:rPr>
                      <w:rPr>
                        <w:rFonts w:ascii="Cambria Math" w:hAnsi="Cambria Math"/>
                      </w:rPr>
                      <m:t>H</m:t>
                    </m:r>
                  </m:e>
                  <m:sub>
                    <m:r>
                      <m:rPr>
                        <m:scr m:val="script"/>
                      </m:rPr>
                      <w:rPr>
                        <w:rFonts w:ascii="Cambria Math" w:hAnsi="Cambria Math"/>
                      </w:rPr>
                      <m:t>l</m:t>
                    </m:r>
                  </m:sub>
                </m:sSub>
                <m:r>
                  <m:rPr>
                    <m:sty m:val="p"/>
                  </m:rPr>
                  <w:rPr>
                    <w:rFonts w:ascii="Cambria Math" w:hAnsi="Cambria Math"/>
                  </w:rPr>
                  <m:t>,</m:t>
                </m:r>
                <m:r>
                  <w:rPr>
                    <w:rFonts w:ascii="Cambria Math" w:hAnsi="Cambria Math"/>
                  </w:rPr>
                  <m:t>N</m:t>
                </m:r>
              </m:oMath>
            </m:oMathPara>
          </w:p>
        </w:tc>
        <w:tc>
          <w:tcPr>
            <w:tcW w:w="5669" w:type="dxa"/>
            <w:vAlign w:val="center"/>
          </w:tcPr>
          <w:p w14:paraId="353B13C6" w14:textId="77777777" w:rsidR="00C65BD9" w:rsidRDefault="003C66B1">
            <w:pPr>
              <w:spacing w:before="50" w:after="50" w:line="252" w:lineRule="auto"/>
            </w:pPr>
            <w:r>
              <w:t>满足固定条件、执行有效且通过本层门槛的候选集合；名额总数是后续实际可安排的搜索次数。</w:t>
            </w:r>
          </w:p>
        </w:tc>
      </w:tr>
      <w:tr w:rsidR="00C65BD9" w14:paraId="0C8256B4" w14:textId="77777777">
        <w:trPr>
          <w:cantSplit/>
          <w:jc w:val="center"/>
        </w:trPr>
        <w:tc>
          <w:tcPr>
            <w:tcW w:w="2041" w:type="dxa"/>
            <w:vAlign w:val="center"/>
          </w:tcPr>
          <w:p w14:paraId="5F30CE53" w14:textId="77777777" w:rsidR="00C65BD9" w:rsidRDefault="003C66B1">
            <w:pPr>
              <w:spacing w:before="50" w:after="50" w:line="252" w:lineRule="auto"/>
            </w:pPr>
            <w:r>
              <w:t>参数组选取</w:t>
            </w:r>
          </w:p>
        </w:tc>
        <w:tc>
          <w:tcPr>
            <w:tcW w:w="1474" w:type="dxa"/>
            <w:vAlign w:val="center"/>
          </w:tcPr>
          <w:p w14:paraId="6E681C64" w14:textId="77777777" w:rsidR="00C65BD9" w:rsidRDefault="00F555AD">
            <w:pPr>
              <w:spacing w:before="50" w:after="50" w:line="252" w:lineRule="auto"/>
            </w:pPr>
            <m:oMathPara>
              <m:oMath>
                <m:sSub>
                  <m:sSubPr>
                    <m:ctrlPr>
                      <w:rPr>
                        <w:rFonts w:ascii="Cambria Math" w:hAnsi="Cambria Math"/>
                      </w:rPr>
                    </m:ctrlPr>
                  </m:sSubPr>
                  <m:e>
                    <m:r>
                      <w:rPr>
                        <w:rFonts w:ascii="Cambria Math" w:hAnsi="Cambria Math"/>
                      </w:rPr>
                      <m:t>s</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m:t>
                    </m:r>
                  </m:sub>
                </m:sSub>
              </m:oMath>
            </m:oMathPara>
          </w:p>
        </w:tc>
        <w:tc>
          <w:tcPr>
            <w:tcW w:w="5669" w:type="dxa"/>
            <w:vAlign w:val="center"/>
          </w:tcPr>
          <w:p w14:paraId="2B162B28" w14:textId="77777777" w:rsidR="00C65BD9" w:rsidRDefault="003C66B1">
            <w:pPr>
              <w:spacing w:before="50" w:after="50" w:line="252" w:lineRule="auto"/>
            </w:pPr>
            <w:r>
              <w:t>参数组累计敏感度与下一次局部提议中该组的选择概率。</w:t>
            </w:r>
          </w:p>
        </w:tc>
      </w:tr>
      <w:tr w:rsidR="00C65BD9" w14:paraId="0E530F40" w14:textId="77777777">
        <w:trPr>
          <w:cantSplit/>
          <w:jc w:val="center"/>
        </w:trPr>
        <w:tc>
          <w:tcPr>
            <w:tcW w:w="2041" w:type="dxa"/>
            <w:vAlign w:val="center"/>
          </w:tcPr>
          <w:p w14:paraId="7F450191" w14:textId="77777777" w:rsidR="00C65BD9" w:rsidRDefault="003C66B1">
            <w:pPr>
              <w:spacing w:before="50" w:after="50" w:line="252" w:lineRule="auto"/>
            </w:pPr>
            <w:r>
              <w:t>单组风险反馈</w:t>
            </w:r>
          </w:p>
        </w:tc>
        <w:tc>
          <w:tcPr>
            <w:tcW w:w="1474" w:type="dxa"/>
            <w:vAlign w:val="center"/>
          </w:tcPr>
          <w:p w14:paraId="155A1123" w14:textId="77777777" w:rsidR="00C65BD9" w:rsidRDefault="00F555AD">
            <w:pPr>
              <w:spacing w:before="50" w:after="50" w:line="252" w:lineRule="auto"/>
            </w:pPr>
            <m:oMathPara>
              <m:oMath>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b</m:t>
                    </m:r>
                  </m:sub>
                </m:sSub>
              </m:oMath>
            </m:oMathPara>
          </w:p>
        </w:tc>
        <w:tc>
          <w:tcPr>
            <w:tcW w:w="5669" w:type="dxa"/>
            <w:vAlign w:val="center"/>
          </w:tcPr>
          <w:p w14:paraId="3B503020" w14:textId="77777777" w:rsidR="00C65BD9" w:rsidRDefault="003C66B1">
            <w:pPr>
              <w:spacing w:before="50" w:after="50" w:line="252" w:lineRule="auto"/>
            </w:pPr>
            <w:r>
              <w:t>归一化单组风险差、关键交互适用性权重及该组有效配对数。</w:t>
            </w:r>
          </w:p>
        </w:tc>
      </w:tr>
      <w:tr w:rsidR="00C65BD9" w14:paraId="2C05E23A" w14:textId="77777777">
        <w:trPr>
          <w:cantSplit/>
          <w:jc w:val="center"/>
        </w:trPr>
        <w:tc>
          <w:tcPr>
            <w:tcW w:w="2041" w:type="dxa"/>
            <w:vAlign w:val="center"/>
          </w:tcPr>
          <w:p w14:paraId="237CB2A3" w14:textId="77777777" w:rsidR="00C65BD9" w:rsidRDefault="003C66B1">
            <w:pPr>
              <w:spacing w:before="50" w:after="50" w:line="252" w:lineRule="auto"/>
            </w:pPr>
            <w:r>
              <w:t>提议与更新配置</w:t>
            </w:r>
          </w:p>
        </w:tc>
        <w:tc>
          <w:tcPr>
            <w:tcW w:w="1474" w:type="dxa"/>
            <w:vAlign w:val="center"/>
          </w:tcPr>
          <w:p w14:paraId="01DDED63" w14:textId="77777777" w:rsidR="00C65BD9" w:rsidRDefault="00F555AD">
            <w:pPr>
              <w:spacing w:before="50" w:after="50" w:line="252" w:lineRule="auto"/>
            </w:pPr>
            <m:oMathPara>
              <m:oMath>
                <m:sSub>
                  <m:sSubPr>
                    <m:ctrlPr>
                      <w:rPr>
                        <w:rFonts w:ascii="Cambria Math" w:hAnsi="Cambria Math"/>
                      </w:rPr>
                    </m:ctrlPr>
                  </m:sSubPr>
                  <m:e>
                    <m:r>
                      <w:rPr>
                        <w:rFonts w:ascii="Cambria Math" w:hAnsi="Cambria Math"/>
                      </w:rPr>
                      <m:t>β</m:t>
                    </m:r>
                  </m:e>
                  <m:sub>
                    <m:r>
                      <w:rPr>
                        <w:rFonts w:ascii="Cambria Math" w:hAnsi="Cambria Math"/>
                      </w:rPr>
                      <m:t>b</m:t>
                    </m:r>
                  </m:sub>
                </m:sSub>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δ</m:t>
                </m:r>
              </m:oMath>
            </m:oMathPara>
          </w:p>
        </w:tc>
        <w:tc>
          <w:tcPr>
            <w:tcW w:w="5669" w:type="dxa"/>
            <w:vAlign w:val="center"/>
          </w:tcPr>
          <w:p w14:paraId="39E89E18" w14:textId="77777777" w:rsidR="00C65BD9" w:rsidRDefault="003C66B1">
            <w:pPr>
              <w:spacing w:before="50" w:after="50" w:line="252" w:lineRule="auto"/>
            </w:pPr>
            <w:r>
              <w:t>局部提议尺度、敏感度更新权重及选择概率的正平滑常数。</w:t>
            </w:r>
          </w:p>
        </w:tc>
      </w:tr>
      <w:tr w:rsidR="00C65BD9" w14:paraId="782F3929" w14:textId="77777777">
        <w:trPr>
          <w:cantSplit/>
          <w:jc w:val="center"/>
        </w:trPr>
        <w:tc>
          <w:tcPr>
            <w:tcW w:w="2041" w:type="dxa"/>
            <w:vAlign w:val="center"/>
          </w:tcPr>
          <w:p w14:paraId="78C49DF0" w14:textId="77777777" w:rsidR="00C65BD9" w:rsidRDefault="003C66B1">
            <w:pPr>
              <w:spacing w:before="50" w:after="50" w:line="252" w:lineRule="auto"/>
            </w:pPr>
            <w:r>
              <w:t>分层得分</w:t>
            </w:r>
          </w:p>
        </w:tc>
        <w:tc>
          <w:tcPr>
            <w:tcW w:w="1474" w:type="dxa"/>
            <w:vAlign w:val="center"/>
          </w:tcPr>
          <w:p w14:paraId="29EBFC58" w14:textId="77777777" w:rsidR="00C65BD9" w:rsidRDefault="00F555AD">
            <w:pPr>
              <w:spacing w:before="50" w:after="50" w:line="252" w:lineRule="auto"/>
            </w:pPr>
            <m:oMathPara>
              <m:oMath>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p</m:t>
                    </m:r>
                  </m:sub>
                </m:sSub>
              </m:oMath>
            </m:oMathPara>
          </w:p>
        </w:tc>
        <w:tc>
          <w:tcPr>
            <w:tcW w:w="5669" w:type="dxa"/>
            <w:vAlign w:val="center"/>
          </w:tcPr>
          <w:p w14:paraId="5D3C950F" w14:textId="77777777" w:rsidR="00C65BD9" w:rsidRDefault="003C66B1">
            <w:pPr>
              <w:spacing w:before="50" w:after="50" w:line="252" w:lineRule="auto"/>
            </w:pPr>
            <w:r>
              <w:t>有效候选的有界风险得分及经验分位数；目标保留比例在搜索前确定。</w:t>
            </w:r>
          </w:p>
        </w:tc>
      </w:tr>
      <w:tr w:rsidR="00C65BD9" w14:paraId="28707678" w14:textId="77777777">
        <w:trPr>
          <w:cantSplit/>
          <w:jc w:val="center"/>
        </w:trPr>
        <w:tc>
          <w:tcPr>
            <w:tcW w:w="2041" w:type="dxa"/>
            <w:vAlign w:val="center"/>
          </w:tcPr>
          <w:p w14:paraId="46B0DC7F" w14:textId="77777777" w:rsidR="00C65BD9" w:rsidRDefault="003C66B1">
            <w:pPr>
              <w:spacing w:before="50" w:after="50" w:line="252" w:lineRule="auto"/>
            </w:pPr>
            <w:r>
              <w:t>来源额度</w:t>
            </w:r>
          </w:p>
        </w:tc>
        <w:tc>
          <w:tcPr>
            <w:tcW w:w="1474" w:type="dxa"/>
            <w:vAlign w:val="center"/>
          </w:tcPr>
          <w:p w14:paraId="0A07BEB2" w14:textId="77777777" w:rsidR="00C65BD9" w:rsidRDefault="00F555AD">
            <w:pPr>
              <w:spacing w:before="50" w:after="50" w:line="252" w:lineRule="auto"/>
            </w:pPr>
            <m:oMathPara>
              <m:oMath>
                <m:sSub>
                  <m:sSubPr>
                    <m:ctrlPr>
                      <w:rPr>
                        <w:rFonts w:ascii="Cambria Math" w:hAnsi="Cambria Math"/>
                      </w:rPr>
                    </m:ctrlPr>
                  </m:sSubPr>
                  <m:e>
                    <m:r>
                      <w:rPr>
                        <w:rFonts w:ascii="Cambria Math" w:hAnsi="Cambria Math"/>
                      </w:rPr>
                      <m:t>M</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α</m:t>
                    </m:r>
                  </m:sub>
                </m:sSub>
                <m:r>
                  <w:rPr>
                    <w:rFonts w:ascii="Cambria Math" w:hAnsi="Cambria Math"/>
                  </w:rPr>
                  <m:t>,C</m:t>
                </m:r>
              </m:oMath>
            </m:oMathPara>
          </w:p>
        </w:tc>
        <w:tc>
          <w:tcPr>
            <w:tcW w:w="5669" w:type="dxa"/>
            <w:vAlign w:val="center"/>
          </w:tcPr>
          <w:p w14:paraId="662B5BDF" w14:textId="77777777" w:rsidR="00C65BD9" w:rsidRDefault="003C66B1">
            <w:pPr>
              <w:spacing w:before="50" w:after="50" w:line="252" w:lineRule="auto"/>
            </w:pPr>
            <w:r>
              <w:t>本轮计划名额、跨轮已用搜索名额、来源总上限及全部来源上限的最大值。</w:t>
            </w:r>
          </w:p>
        </w:tc>
      </w:tr>
    </w:tbl>
    <w:p w14:paraId="7D7DA81D" w14:textId="77777777" w:rsidR="00C65BD9" w:rsidRDefault="00C65BD9">
      <w:pPr>
        <w:spacing w:after="0"/>
      </w:pPr>
    </w:p>
    <w:p w14:paraId="58A76E86" w14:textId="77777777" w:rsidR="00C65BD9" w:rsidRDefault="003C66B1">
      <w:pPr>
        <w:spacing w:after="60" w:line="264" w:lineRule="auto"/>
        <w:ind w:firstLine="420"/>
      </w:pPr>
      <w:r>
        <w:t>行为输入按车辆身份、物理帧与变量类型索引，使一次参数组变更能够指向明确的背景车辆及作用时段。场景结构与初始条件用于还原事件，进入测试后保持固定；参考结点、残差和背景响应参数用于改变后续运动。各组采用相同事件长度和固定数组形状保存，参数组说明如下。</w:t>
      </w:r>
    </w:p>
    <w:tbl>
      <w:tblPr>
        <w:tblW w:w="93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80" w:type="dxa"/>
          <w:left w:w="90" w:type="dxa"/>
          <w:bottom w:w="80" w:type="dxa"/>
          <w:right w:w="90" w:type="dxa"/>
        </w:tblCellMar>
        <w:tblLook w:val="04A0" w:firstRow="1" w:lastRow="0" w:firstColumn="1" w:lastColumn="0" w:noHBand="0" w:noVBand="1"/>
      </w:tblPr>
      <w:tblGrid>
        <w:gridCol w:w="2300"/>
        <w:gridCol w:w="3100"/>
        <w:gridCol w:w="3900"/>
      </w:tblGrid>
      <w:tr w:rsidR="009F0F61" w14:paraId="1CB5E329" w14:textId="77777777">
        <w:trPr>
          <w:tblHeader/>
        </w:trPr>
        <w:tc>
          <w:tcPr>
            <w:tcW w:w="2300" w:type="dxa"/>
            <w:shd w:val="clear" w:color="auto" w:fill="F2F2F2"/>
            <w:vAlign w:val="center"/>
          </w:tcPr>
          <w:p w14:paraId="645B2CA6" w14:textId="77777777" w:rsidR="009F0F61" w:rsidRDefault="00F555AD">
            <w:pPr>
              <w:spacing w:after="40" w:line="240" w:lineRule="auto"/>
            </w:pPr>
            <w:r>
              <w:lastRenderedPageBreak/>
              <w:t>参数组</w:t>
            </w:r>
          </w:p>
        </w:tc>
        <w:tc>
          <w:tcPr>
            <w:tcW w:w="3100" w:type="dxa"/>
            <w:shd w:val="clear" w:color="auto" w:fill="F2F2F2"/>
            <w:vAlign w:val="center"/>
          </w:tcPr>
          <w:p w14:paraId="18CCD2C5" w14:textId="77777777" w:rsidR="009F0F61" w:rsidRDefault="00F555AD">
            <w:pPr>
              <w:spacing w:after="40" w:line="240" w:lineRule="auto"/>
            </w:pPr>
            <w:r>
              <w:t>形状与作用时间</w:t>
            </w:r>
          </w:p>
        </w:tc>
        <w:tc>
          <w:tcPr>
            <w:tcW w:w="3900" w:type="dxa"/>
            <w:shd w:val="clear" w:color="auto" w:fill="F2F2F2"/>
            <w:vAlign w:val="center"/>
          </w:tcPr>
          <w:p w14:paraId="04BE89B7" w14:textId="77777777" w:rsidR="009F0F61" w:rsidRDefault="00F555AD">
            <w:pPr>
              <w:spacing w:after="40" w:line="240" w:lineRule="auto"/>
            </w:pPr>
            <w:r>
              <w:t>局部变更及固定条件</w:t>
            </w:r>
          </w:p>
        </w:tc>
      </w:tr>
      <w:tr w:rsidR="009F0F61" w14:paraId="31FE9CDD" w14:textId="77777777">
        <w:tc>
          <w:tcPr>
            <w:tcW w:w="2300" w:type="dxa"/>
            <w:vAlign w:val="center"/>
          </w:tcPr>
          <w:p w14:paraId="08D85FC9" w14:textId="77777777" w:rsidR="009F0F61" w:rsidRDefault="00F555AD">
            <w:pPr>
              <w:spacing w:after="40" w:line="240" w:lineRule="auto"/>
            </w:pPr>
            <w:r>
              <w:t>场景结构均匀量</w:t>
            </w:r>
          </w:p>
        </w:tc>
        <w:tc>
          <w:tcPr>
            <w:tcW w:w="3100" w:type="dxa"/>
            <w:vAlign w:val="center"/>
          </w:tcPr>
          <w:p w14:paraId="6FDF44DC" w14:textId="77777777" w:rsidR="009F0F61" w:rsidRDefault="00F555AD">
            <w:pPr>
              <w:spacing w:after="40" w:line="240" w:lineRule="auto"/>
            </w:pPr>
            <w:r>
              <w:t>1</w:t>
            </w:r>
            <w:r>
              <w:t>维；事件起点</w:t>
            </w:r>
          </w:p>
        </w:tc>
        <w:tc>
          <w:tcPr>
            <w:tcW w:w="3900" w:type="dxa"/>
            <w:vAlign w:val="center"/>
          </w:tcPr>
          <w:p w14:paraId="63619784" w14:textId="77777777" w:rsidR="009F0F61" w:rsidRDefault="00F555AD">
            <w:pPr>
              <w:spacing w:after="40" w:line="240" w:lineRule="auto"/>
            </w:pPr>
            <w:r>
              <w:t>固定。映射背景位置组合与尺寸档，按已选事件还原。</w:t>
            </w:r>
          </w:p>
        </w:tc>
      </w:tr>
      <w:tr w:rsidR="009F0F61" w14:paraId="7115EF5B" w14:textId="77777777">
        <w:tc>
          <w:tcPr>
            <w:tcW w:w="2300" w:type="dxa"/>
            <w:vAlign w:val="center"/>
          </w:tcPr>
          <w:p w14:paraId="0FD49212" w14:textId="77777777" w:rsidR="009F0F61" w:rsidRDefault="00F555AD">
            <w:pPr>
              <w:spacing w:after="40" w:line="240" w:lineRule="auto"/>
            </w:pPr>
            <w:r>
              <w:t>初始条件基变量</w:t>
            </w:r>
          </w:p>
        </w:tc>
        <w:tc>
          <w:tcPr>
            <w:tcW w:w="3100" w:type="dxa"/>
            <w:vAlign w:val="center"/>
          </w:tcPr>
          <w:p w14:paraId="68F47076" w14:textId="77777777" w:rsidR="009F0F61" w:rsidRDefault="00F555AD">
            <w:pPr>
              <w:spacing w:after="40" w:line="240" w:lineRule="auto"/>
            </w:pPr>
            <w:r>
              <w:t>26</w:t>
            </w:r>
            <w:r>
              <w:t>维；事件起点</w:t>
            </w:r>
          </w:p>
        </w:tc>
        <w:tc>
          <w:tcPr>
            <w:tcW w:w="3900" w:type="dxa"/>
            <w:vAlign w:val="center"/>
          </w:tcPr>
          <w:p w14:paraId="048B5A5A" w14:textId="77777777" w:rsidR="009F0F61" w:rsidRDefault="00F555AD">
            <w:pPr>
              <w:spacing w:after="40" w:line="240" w:lineRule="auto"/>
            </w:pPr>
            <w:r>
              <w:t>固定。描述初始运动关系，不进入可变组集合。</w:t>
            </w:r>
          </w:p>
        </w:tc>
      </w:tr>
      <w:tr w:rsidR="009F0F61" w14:paraId="27D56D37" w14:textId="77777777">
        <w:tc>
          <w:tcPr>
            <w:tcW w:w="2300" w:type="dxa"/>
            <w:vAlign w:val="center"/>
          </w:tcPr>
          <w:p w14:paraId="718C6CE4" w14:textId="77777777" w:rsidR="009F0F61" w:rsidRDefault="00F555AD">
            <w:pPr>
              <w:spacing w:after="40" w:line="240" w:lineRule="auto"/>
            </w:pPr>
            <w:r>
              <w:t>参考结点基变量</w:t>
            </w:r>
          </w:p>
        </w:tc>
        <w:tc>
          <w:tcPr>
            <w:tcW w:w="3100" w:type="dxa"/>
            <w:vAlign w:val="center"/>
          </w:tcPr>
          <w:p w14:paraId="333A6A54" w14:textId="77777777" w:rsidR="009F0F61" w:rsidRDefault="00F555AD">
            <w:pPr>
              <w:spacing w:after="40" w:line="240" w:lineRule="auto"/>
            </w:pPr>
            <w:r>
              <w:t>36</w:t>
            </w:r>
            <w:r>
              <w:t>维；</w:t>
            </w:r>
            <w:r>
              <w:t>2.0</w:t>
            </w:r>
            <w:r>
              <w:t>、</w:t>
            </w:r>
            <w:r>
              <w:t>4.0</w:t>
            </w:r>
            <w:r>
              <w:t>、</w:t>
            </w:r>
            <w:r>
              <w:t>5.96 s</w:t>
            </w:r>
            <w:r>
              <w:t>结点</w:t>
            </w:r>
          </w:p>
        </w:tc>
        <w:tc>
          <w:tcPr>
            <w:tcW w:w="3900" w:type="dxa"/>
            <w:vAlign w:val="center"/>
          </w:tcPr>
          <w:p w14:paraId="630DE9F6" w14:textId="77777777" w:rsidR="009F0F61" w:rsidRDefault="00F555AD">
            <w:pPr>
              <w:spacing w:after="40" w:line="240" w:lineRule="auto"/>
            </w:pPr>
            <w:r>
              <w:t>可变。改变后续参考位置结点，不改变事件起始状态。</w:t>
            </w:r>
          </w:p>
        </w:tc>
      </w:tr>
      <w:tr w:rsidR="009F0F61" w14:paraId="775CE1BA" w14:textId="77777777">
        <w:tc>
          <w:tcPr>
            <w:tcW w:w="2300" w:type="dxa"/>
            <w:vAlign w:val="center"/>
          </w:tcPr>
          <w:p w14:paraId="41CBB192" w14:textId="77777777" w:rsidR="009F0F61" w:rsidRDefault="00F555AD">
            <w:pPr>
              <w:spacing w:after="40" w:line="240" w:lineRule="auto"/>
            </w:pPr>
            <w:r>
              <w:t>扩散残差噪声</w:t>
            </w:r>
          </w:p>
        </w:tc>
        <w:tc>
          <w:tcPr>
            <w:tcW w:w="3100" w:type="dxa"/>
            <w:vAlign w:val="center"/>
          </w:tcPr>
          <w:p w14:paraId="3E67F8AB" w14:textId="77777777" w:rsidR="009F0F61" w:rsidRDefault="00F555AD">
            <w:pPr>
              <w:spacing w:after="40" w:line="240" w:lineRule="auto"/>
            </w:pPr>
            <w:r>
              <w:t>1788</w:t>
            </w:r>
            <w:r>
              <w:t>维；</w:t>
            </w:r>
            <w:r>
              <w:t>149</w:t>
            </w:r>
            <w:r>
              <w:t>帧</w:t>
            </w:r>
            <w:r>
              <w:t>×6</w:t>
            </w:r>
            <w:r>
              <w:t>背景位置</w:t>
            </w:r>
            <w:r>
              <w:t>×2</w:t>
            </w:r>
            <w:r>
              <w:t>坐标</w:t>
            </w:r>
          </w:p>
        </w:tc>
        <w:tc>
          <w:tcPr>
            <w:tcW w:w="3900" w:type="dxa"/>
            <w:vAlign w:val="center"/>
          </w:tcPr>
          <w:p w14:paraId="35BB8EAA" w14:textId="77777777" w:rsidR="009F0F61" w:rsidRDefault="00F555AD">
            <w:pPr>
              <w:spacing w:after="40" w:line="240" w:lineRule="auto"/>
            </w:pPr>
            <w:r>
              <w:t>可变。生成参考残差，保持端点与结点约束。</w:t>
            </w:r>
          </w:p>
        </w:tc>
      </w:tr>
      <w:tr w:rsidR="009F0F61" w14:paraId="0319A7C2" w14:textId="77777777">
        <w:tc>
          <w:tcPr>
            <w:tcW w:w="2300" w:type="dxa"/>
            <w:vAlign w:val="center"/>
          </w:tcPr>
          <w:p w14:paraId="414C91D5" w14:textId="77777777" w:rsidR="009F0F61" w:rsidRDefault="00F555AD">
            <w:pPr>
              <w:spacing w:after="40" w:line="240" w:lineRule="auto"/>
            </w:pPr>
            <w:r>
              <w:t>驾驶员特征</w:t>
            </w:r>
          </w:p>
        </w:tc>
        <w:tc>
          <w:tcPr>
            <w:tcW w:w="3100" w:type="dxa"/>
            <w:vAlign w:val="center"/>
          </w:tcPr>
          <w:p w14:paraId="31837C8F" w14:textId="77777777" w:rsidR="009F0F61" w:rsidRDefault="00F555AD">
            <w:pPr>
              <w:spacing w:after="40" w:line="240" w:lineRule="auto"/>
            </w:pPr>
            <w:r>
              <w:t>30</w:t>
            </w:r>
            <w:r>
              <w:t>维；</w:t>
            </w:r>
            <w:r>
              <w:t>6</w:t>
            </w:r>
            <w:r>
              <w:t>背景位置</w:t>
            </w:r>
            <w:r>
              <w:t>×5</w:t>
            </w:r>
            <w:r>
              <w:t>参数，事件内持续</w:t>
            </w:r>
          </w:p>
        </w:tc>
        <w:tc>
          <w:tcPr>
            <w:tcW w:w="3900" w:type="dxa"/>
            <w:vAlign w:val="center"/>
          </w:tcPr>
          <w:p w14:paraId="1C4E4E2C" w14:textId="77777777" w:rsidR="009F0F61" w:rsidRDefault="00F555AD">
            <w:pPr>
              <w:spacing w:after="40" w:line="240" w:lineRule="auto"/>
            </w:pPr>
            <w:r>
              <w:t>可变。调整背景驾驶员参数，不改变被测策略。</w:t>
            </w:r>
          </w:p>
        </w:tc>
      </w:tr>
      <w:tr w:rsidR="009F0F61" w14:paraId="2230615B" w14:textId="77777777">
        <w:tc>
          <w:tcPr>
            <w:tcW w:w="2300" w:type="dxa"/>
            <w:vAlign w:val="center"/>
          </w:tcPr>
          <w:p w14:paraId="0A4572AE" w14:textId="77777777" w:rsidR="009F0F61" w:rsidRDefault="00F555AD">
            <w:pPr>
              <w:spacing w:after="40" w:line="240" w:lineRule="auto"/>
            </w:pPr>
            <w:r>
              <w:t>换道特征</w:t>
            </w:r>
          </w:p>
        </w:tc>
        <w:tc>
          <w:tcPr>
            <w:tcW w:w="3100" w:type="dxa"/>
            <w:vAlign w:val="center"/>
          </w:tcPr>
          <w:p w14:paraId="254D2F58" w14:textId="77777777" w:rsidR="009F0F61" w:rsidRDefault="00F555AD">
            <w:pPr>
              <w:spacing w:after="40" w:line="240" w:lineRule="auto"/>
            </w:pPr>
            <w:r>
              <w:t>24</w:t>
            </w:r>
            <w:r>
              <w:t>维；</w:t>
            </w:r>
            <w:r>
              <w:t>6</w:t>
            </w:r>
            <w:r>
              <w:t>背景位置</w:t>
            </w:r>
            <w:r>
              <w:t>×4</w:t>
            </w:r>
            <w:r>
              <w:t>参数，事件内持续</w:t>
            </w:r>
          </w:p>
        </w:tc>
        <w:tc>
          <w:tcPr>
            <w:tcW w:w="3900" w:type="dxa"/>
            <w:vAlign w:val="center"/>
          </w:tcPr>
          <w:p w14:paraId="1D1DFAEF" w14:textId="77777777" w:rsidR="009F0F61" w:rsidRDefault="00F555AD">
            <w:pPr>
              <w:spacing w:after="40" w:line="240" w:lineRule="auto"/>
            </w:pPr>
            <w:r>
              <w:t>可变。调整背景车辆换道决策与执行特征。</w:t>
            </w:r>
          </w:p>
        </w:tc>
      </w:tr>
      <w:tr w:rsidR="009F0F61" w14:paraId="764FD573" w14:textId="77777777">
        <w:tc>
          <w:tcPr>
            <w:tcW w:w="2300" w:type="dxa"/>
            <w:vAlign w:val="center"/>
          </w:tcPr>
          <w:p w14:paraId="35139692" w14:textId="77777777" w:rsidR="009F0F61" w:rsidRDefault="00F555AD">
            <w:pPr>
              <w:spacing w:after="40" w:line="240" w:lineRule="auto"/>
            </w:pPr>
            <w:r>
              <w:t>响应随机量</w:t>
            </w:r>
          </w:p>
        </w:tc>
        <w:tc>
          <w:tcPr>
            <w:tcW w:w="3100" w:type="dxa"/>
            <w:vAlign w:val="center"/>
          </w:tcPr>
          <w:p w14:paraId="4B842B34" w14:textId="77777777" w:rsidR="009F0F61" w:rsidRDefault="00F555AD">
            <w:pPr>
              <w:spacing w:after="40" w:line="240" w:lineRule="auto"/>
            </w:pPr>
            <w:r>
              <w:t>按物理帧</w:t>
            </w:r>
            <w:r>
              <w:t>×6</w:t>
            </w:r>
            <w:r>
              <w:t>背景位置</w:t>
            </w:r>
            <w:r>
              <w:t>×2</w:t>
            </w:r>
            <w:r>
              <w:t>保存</w:t>
            </w:r>
          </w:p>
        </w:tc>
        <w:tc>
          <w:tcPr>
            <w:tcW w:w="3900" w:type="dxa"/>
            <w:vAlign w:val="center"/>
          </w:tcPr>
          <w:p w14:paraId="287A4904" w14:textId="77777777" w:rsidR="009F0F61" w:rsidRDefault="00F555AD">
            <w:pPr>
              <w:spacing w:after="40" w:line="240" w:lineRule="auto"/>
            </w:pPr>
            <w:r>
              <w:t>可变。只替换选中车辆及时间窗的元素，完整形状不变。</w:t>
            </w:r>
          </w:p>
        </w:tc>
      </w:tr>
      <w:tr w:rsidR="009F0F61" w14:paraId="7F86481A" w14:textId="77777777">
        <w:tc>
          <w:tcPr>
            <w:tcW w:w="2300" w:type="dxa"/>
            <w:vAlign w:val="center"/>
          </w:tcPr>
          <w:p w14:paraId="6FBC830D" w14:textId="77777777" w:rsidR="009F0F61" w:rsidRDefault="00F555AD">
            <w:pPr>
              <w:spacing w:after="40" w:line="240" w:lineRule="auto"/>
            </w:pPr>
            <w:r>
              <w:t>背景响应标定量</w:t>
            </w:r>
          </w:p>
        </w:tc>
        <w:tc>
          <w:tcPr>
            <w:tcW w:w="3100" w:type="dxa"/>
            <w:vAlign w:val="center"/>
          </w:tcPr>
          <w:p w14:paraId="2DFC87AE" w14:textId="77777777" w:rsidR="009F0F61" w:rsidRDefault="00F555AD">
            <w:pPr>
              <w:spacing w:after="40" w:line="240" w:lineRule="auto"/>
            </w:pPr>
            <w:r>
              <w:t>起始决策单帧</w:t>
            </w:r>
            <w:r>
              <w:t>×6</w:t>
            </w:r>
            <w:r>
              <w:t>背景位置</w:t>
            </w:r>
            <w:r>
              <w:t>×2</w:t>
            </w:r>
          </w:p>
        </w:tc>
        <w:tc>
          <w:tcPr>
            <w:tcW w:w="3900" w:type="dxa"/>
            <w:vAlign w:val="center"/>
          </w:tcPr>
          <w:p w14:paraId="4BEDDEB9" w14:textId="77777777" w:rsidR="009F0F61" w:rsidRDefault="00F555AD">
            <w:pPr>
              <w:spacing w:after="40" w:line="240" w:lineRule="auto"/>
            </w:pPr>
            <w:r>
              <w:t>可变。用于背景响应控制器，不改变被测策略。</w:t>
            </w:r>
          </w:p>
        </w:tc>
      </w:tr>
    </w:tbl>
    <w:p w14:paraId="5D891909" w14:textId="77777777" w:rsidR="009F0F61" w:rsidRDefault="00F555AD">
      <w:pPr>
        <w:spacing w:after="60" w:line="264" w:lineRule="auto"/>
        <w:ind w:firstLine="480"/>
      </w:pPr>
      <w:r>
        <w:t>各可变组在标准基空间保存，局部提议按式（</w:t>
      </w:r>
      <w:r>
        <w:t>9</w:t>
      </w:r>
      <w:r>
        <w:t>）执行；中点比较使用固定的组内归一化尺度。维数与帧数按该事件配置记录，车辆身份与缺席位置掩码始终保持一致。</w:t>
      </w:r>
    </w:p>
    <w:p w14:paraId="2A47EC9D" w14:textId="77777777" w:rsidR="00C65BD9" w:rsidRDefault="003C66B1">
      <w:pPr>
        <w:spacing w:after="60" w:line="264" w:lineRule="auto"/>
        <w:ind w:firstLine="420"/>
      </w:pPr>
      <w:r>
        <w:t>场景结构均匀量通过固定累计分布映射确定背景位置组合与车辆尺寸档，其作用是还原已选事件，不参加本事件的局部提议；初始条件基变量同样由事件确定。即使建立新的完整独立条件抽样，同一事件内也保持位置掩码、车辆尺寸与初态一致，只重新抽取允许变化的背景行为。若改变前述固定条件，应建立另一事件记录，分别组织搜索与连通性检查。候选参数组集合仅包含表中标记为可局部变更的六类组；</w:t>
      </w:r>
      <w:r>
        <w:t>“</w:t>
      </w:r>
      <w:r>
        <w:t>背景响应标定量</w:t>
      </w:r>
      <w:r>
        <w:t>”</w:t>
      </w:r>
      <w:r>
        <w:t>只调整背景车辆响应控制器，不改变被测策略。</w:t>
      </w:r>
    </w:p>
    <w:p w14:paraId="244D0606" w14:textId="77777777" w:rsidR="00C65BD9" w:rsidRDefault="003C66B1">
      <w:pPr>
        <w:spacing w:after="60" w:line="264" w:lineRule="auto"/>
        <w:ind w:firstLine="420"/>
      </w:pPr>
      <w:r>
        <w:t>按车辆身份、物理帧号与变量类型预先索引随机数组，未被某次变更触及的元素仍保留在原位置与原值，因此控制分支不改变随机数的消费顺序。策略存在随机动作时，其随机实现另行保存并复用，作为固定执行条件而不混入待变更的背景行为参数。</w:t>
      </w:r>
    </w:p>
    <w:tbl>
      <w:tblPr>
        <w:tblW w:w="0" w:type="auto"/>
        <w:tblLayout w:type="fixed"/>
        <w:tblLook w:val="04A0" w:firstRow="1" w:lastRow="0" w:firstColumn="1" w:lastColumn="0" w:noHBand="0" w:noVBand="1"/>
      </w:tblPr>
      <w:tblGrid>
        <w:gridCol w:w="7597"/>
        <w:gridCol w:w="1587"/>
      </w:tblGrid>
      <w:tr w:rsidR="00C65BD9" w14:paraId="28F23E22" w14:textId="77777777">
        <w:tc>
          <w:tcPr>
            <w:tcW w:w="7597" w:type="dxa"/>
            <w:vAlign w:val="center"/>
          </w:tcPr>
          <w:p w14:paraId="39ECD67E" w14:textId="77777777" w:rsidR="00C65BD9" w:rsidRDefault="003C66B1">
            <w:pPr>
              <w:spacing w:after="20"/>
              <w:jc w:val="center"/>
            </w:pPr>
            <m:oMathPara>
              <m:oMath>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θ</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ω;π</m:t>
                </m:r>
                <m:r>
                  <m:rPr>
                    <m:sty m:val="p"/>
                  </m:rPr>
                  <w:rPr>
                    <w:rFonts w:ascii="Cambria Math" w:hAnsi="Cambria Math"/>
                  </w:rPr>
                  <m:t>)</m:t>
                </m:r>
              </m:oMath>
            </m:oMathPara>
          </w:p>
        </w:tc>
        <w:tc>
          <w:tcPr>
            <w:tcW w:w="1587" w:type="dxa"/>
            <w:vAlign w:val="center"/>
          </w:tcPr>
          <w:p w14:paraId="4DED7019" w14:textId="77777777" w:rsidR="00C65BD9" w:rsidRDefault="003C66B1">
            <w:pPr>
              <w:spacing w:before="60" w:after="20"/>
              <w:jc w:val="right"/>
            </w:pPr>
            <w:r>
              <w:t>（</w:t>
            </w:r>
            <w:r>
              <w:t>1</w:t>
            </w:r>
            <w:r>
              <w:t>）</w:t>
            </w:r>
          </w:p>
        </w:tc>
      </w:tr>
    </w:tbl>
    <w:p w14:paraId="70466A07" w14:textId="77777777" w:rsidR="00C65BD9" w:rsidRDefault="003C66B1">
      <w:pPr>
        <w:spacing w:after="90" w:line="264" w:lineRule="auto"/>
        <w:ind w:firstLine="420"/>
      </w:pPr>
      <w:r>
        <w:t>式（</w:t>
      </w:r>
      <w:r>
        <w:t>1</w:t>
      </w:r>
      <w:r>
        <w:t>）中，</w:t>
      </w:r>
      <m:oMath>
        <m:sSub>
          <m:sSubPr>
            <m:ctrlPr>
              <w:rPr>
                <w:rFonts w:ascii="Cambria Math" w:hAnsi="Cambria Math"/>
              </w:rPr>
            </m:ctrlPr>
          </m:sSubPr>
          <m:e>
            <m:r>
              <w:rPr>
                <w:rFonts w:ascii="Cambria Math" w:hAnsi="Cambria Math"/>
              </w:rPr>
              <m:t>S</m:t>
            </m:r>
          </m:e>
          <m:sub>
            <m:r>
              <w:rPr>
                <w:rFonts w:ascii="Cambria Math" w:hAnsi="Cambria Math"/>
              </w:rPr>
              <m:t>θ</m:t>
            </m:r>
          </m:sub>
        </m:sSub>
      </m:oMath>
      <w:r>
        <w:t>为环境参数</w:t>
      </w:r>
      <m:oMath>
        <m:r>
          <w:rPr>
            <w:rFonts w:ascii="Cambria Math" w:hAnsi="Cambria Math"/>
          </w:rPr>
          <m:t>θ</m:t>
        </m:r>
      </m:oMath>
      <w:r>
        <w:t>下执行闭环交通仿真的映射，输入为事件</w:t>
      </w:r>
      <m:oMath>
        <m:r>
          <w:rPr>
            <w:rFonts w:ascii="Cambria Math" w:hAnsi="Cambria Math"/>
          </w:rPr>
          <m:t>e</m:t>
        </m:r>
      </m:oMath>
      <w:r>
        <w:t>、行为输入</w:t>
      </w:r>
      <m:oMath>
        <m:r>
          <w:rPr>
            <w:rFonts w:ascii="Cambria Math" w:hAnsi="Cambria Math"/>
          </w:rPr>
          <m:t>ω</m:t>
        </m:r>
      </m:oMath>
      <w:r>
        <w:t>与被测策略</w:t>
      </w:r>
      <m:oMath>
        <m:r>
          <w:rPr>
            <w:rFonts w:ascii="Cambria Math" w:hAnsi="Cambria Math"/>
          </w:rPr>
          <m:t>π</m:t>
        </m:r>
      </m:oMath>
      <w:r>
        <w:t>，输出</w:t>
      </w:r>
      <m:oMath>
        <m:r>
          <w:rPr>
            <w:rFonts w:ascii="Cambria Math" w:hAnsi="Cambria Math"/>
          </w:rPr>
          <m:t>τ</m:t>
        </m:r>
      </m:oMath>
      <w:r>
        <w:t>为实际联合轨迹。</w:t>
      </w:r>
      <m:oMath>
        <m:r>
          <w:rPr>
            <w:rFonts w:ascii="Cambria Math" w:hAnsi="Cambria Math"/>
          </w:rPr>
          <m:t>e</m:t>
        </m:r>
      </m:oMath>
      <w:r>
        <w:t>、</w:t>
      </w:r>
      <m:oMath>
        <m:r>
          <w:rPr>
            <w:rFonts w:ascii="Cambria Math" w:hAnsi="Cambria Math"/>
          </w:rPr>
          <m:t>θ</m:t>
        </m:r>
      </m:oMath>
      <w:r>
        <w:t>、</w:t>
      </w:r>
      <m:oMath>
        <m:r>
          <w:rPr>
            <w:rFonts w:ascii="Cambria Math" w:hAnsi="Cambria Math"/>
          </w:rPr>
          <m:t>π</m:t>
        </m:r>
      </m:oMath>
      <w:r>
        <w:t>及策略随机实现在一次比较中逐项一致。</w:t>
      </w:r>
    </w:p>
    <w:p w14:paraId="585E79EA" w14:textId="77777777" w:rsidR="00C65BD9" w:rsidRDefault="003C66B1">
      <w:pPr>
        <w:spacing w:after="60" w:line="264" w:lineRule="auto"/>
        <w:ind w:firstLine="420"/>
      </w:pPr>
      <w:r>
        <w:t>主实施方式从事件起点重新执行原输入与变更输入，并重置控制器记忆、换道状态与参考进度。若复用执行前缀以节省计算，须一并恢复车辆状态、历史有效掩码、控制器与策略内部状态、已开始的换道及各随机数组索引；已经影响所复用前缀的参数不得在该前缀之后直接替换，否则该次执行不进入有效配对。</w:t>
      </w:r>
    </w:p>
    <w:p w14:paraId="3B77EB16" w14:textId="77777777" w:rsidR="00C65BD9" w:rsidRDefault="003C66B1">
      <w:pPr>
        <w:spacing w:after="60" w:line="264" w:lineRule="auto"/>
        <w:ind w:firstLine="420"/>
      </w:pPr>
      <w:r>
        <w:lastRenderedPageBreak/>
        <w:t>失效判据在本轮开始前固定。一种实现把被测车辆碰撞与被测车辆驶出道路分别记录，并以二者的逻辑或形成安全失效标签；停滞、进度与背景车辆相互碰撞另外记录，用于解释而非替代该标签。非法初始重叠、缺失关键输入与数值发散记为执行异常，保留其成本与原因，且不以异常结果代替被测策略失效。</w:t>
      </w:r>
    </w:p>
    <w:p w14:paraId="0282861C" w14:textId="77777777" w:rsidR="00C65BD9" w:rsidRDefault="003C66B1">
      <w:pPr>
        <w:pStyle w:val="21"/>
        <w:spacing w:before="100" w:after="50"/>
      </w:pPr>
      <w:r>
        <w:t xml:space="preserve">5.2 </w:t>
      </w:r>
      <w:r>
        <w:t>事件构建与执行风险</w:t>
      </w:r>
    </w:p>
    <w:p w14:paraId="645F8EDA" w14:textId="77777777" w:rsidR="00C65BD9" w:rsidRDefault="003C66B1">
      <w:pPr>
        <w:spacing w:after="60" w:line="264" w:lineRule="auto"/>
        <w:ind w:firstLine="420"/>
      </w:pPr>
      <w:r>
        <w:t>读取车辆轨迹、车辆属性与道路元数据，把包围框位置换算为车辆几何中心，统一行驶方向与道路坐标，并按事件起始时刻确定同车道及相邻车道前后车辆的稳定身份。车辆在后续执行中变换车道时，其前车、后车或切入者角色可以改变，身份与数组索引保持不变，从而使同一参数组在事件内始终指向同一车辆。</w:t>
      </w:r>
    </w:p>
    <w:p w14:paraId="40F82142" w14:textId="77777777" w:rsidR="00C65BD9" w:rsidRDefault="003C66B1">
      <w:pPr>
        <w:spacing w:after="60" w:line="264" w:lineRule="auto"/>
        <w:ind w:firstLine="420"/>
      </w:pPr>
      <w:r>
        <w:t>事件风险由车辆几何与相对运动计算。一种实现以车辆半长和、半宽和、纵向期望时距、接近速度与制动能力构造动态安全椭圆，在短预测窗口内沿当前相对运动外推位置，把进入该椭圆的程度作为危险量，再对参与车辆与预测时刻聚合，得到每个物理时刻的非负瞬时风险，并按峰值与持续暴露合成事件风险。</w:t>
      </w:r>
    </w:p>
    <w:tbl>
      <w:tblPr>
        <w:tblW w:w="0" w:type="auto"/>
        <w:tblLayout w:type="fixed"/>
        <w:tblLook w:val="04A0" w:firstRow="1" w:lastRow="0" w:firstColumn="1" w:lastColumn="0" w:noHBand="0" w:noVBand="1"/>
      </w:tblPr>
      <w:tblGrid>
        <w:gridCol w:w="7597"/>
        <w:gridCol w:w="1587"/>
      </w:tblGrid>
      <w:tr w:rsidR="00C65BD9" w14:paraId="74BEC809" w14:textId="77777777">
        <w:tc>
          <w:tcPr>
            <w:tcW w:w="7597" w:type="dxa"/>
            <w:vAlign w:val="center"/>
          </w:tcPr>
          <w:p w14:paraId="0A20A637" w14:textId="77777777" w:rsidR="00C65BD9" w:rsidRDefault="003C66B1">
            <w:pPr>
              <w:spacing w:after="20"/>
              <w:jc w:val="center"/>
            </w:pPr>
            <m:oMathPara>
              <m:oMath>
                <m:r>
                  <w:rPr>
                    <w:rFonts w:ascii="Cambria Math" w:hAnsi="Cambria Math"/>
                  </w:rPr>
                  <m:t>R</m:t>
                </m:r>
                <m:r>
                  <m:rPr>
                    <m:sty m:val="p"/>
                  </m:rPr>
                  <w:rPr>
                    <w:rFonts w:ascii="Cambria Math" w:hAnsi="Cambria Math"/>
                  </w:rPr>
                  <m:t>(</m:t>
                </m:r>
                <m:r>
                  <w:rPr>
                    <w:rFonts w:ascii="Cambria Math" w:hAnsi="Cambria Math"/>
                  </w:rPr>
                  <m:t>τ</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0≤</m:t>
                    </m:r>
                    <m:r>
                      <w:rPr>
                        <w:rFonts w:ascii="Cambria Math" w:hAnsi="Cambria Math"/>
                      </w:rPr>
                      <m:t>t</m:t>
                    </m:r>
                    <m:r>
                      <m:rPr>
                        <m:sty m:val="p"/>
                      </m:rPr>
                      <w:rPr>
                        <w:rFonts w:ascii="Cambria Math" w:hAnsi="Cambria Math"/>
                      </w:rPr>
                      <m:t>≤</m:t>
                    </m:r>
                    <m:r>
                      <w:rPr>
                        <w:rFonts w:ascii="Cambria Math" w:hAnsi="Cambria Math"/>
                      </w:rPr>
                      <m:t>T</m:t>
                    </m:r>
                  </m:lim>
                </m:limLow>
                <m:sSub>
                  <m:sSubPr>
                    <m:ctrlPr>
                      <w:rPr>
                        <w:rFonts w:ascii="Cambria Math" w:hAnsi="Cambria Math"/>
                      </w:rPr>
                    </m:ctrlPr>
                  </m:sSubPr>
                  <m:e>
                    <m:r>
                      <w:rPr>
                        <w:rFonts w:ascii="Cambria Math" w:hAnsi="Cambria Math"/>
                      </w:rPr>
                      <m:t>Φ</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exp</m:t>
                    </m:r>
                  </m:sub>
                </m:sSub>
                <m:r>
                  <w:rPr>
                    <w:rFonts w:ascii="Cambria Math" w:hAnsi="Cambria Math"/>
                  </w:rPr>
                  <m:t>Δt</m:t>
                </m:r>
                <m:limUpp>
                  <m:limUppPr>
                    <m:ctrlPr>
                      <w:rPr>
                        <w:rFonts w:ascii="Cambria Math" w:hAnsi="Cambria Math"/>
                      </w:rPr>
                    </m:ctrlPr>
                  </m:limUppPr>
                  <m:e>
                    <m:limLow>
                      <m:limLowPr>
                        <m:ctrlPr>
                          <w:rPr>
                            <w:rFonts w:ascii="Cambria Math" w:hAnsi="Cambria Math"/>
                          </w:rPr>
                        </m:ctrlPr>
                      </m:limLowPr>
                      <m:e>
                        <m:r>
                          <m:rPr>
                            <m:sty m:val="p"/>
                          </m:rPr>
                          <w:rPr>
                            <w:rFonts w:ascii="Cambria Math" w:hAnsi="Cambria Math"/>
                          </w:rPr>
                          <m:t>∑</m:t>
                        </m:r>
                      </m:e>
                      <m:lim>
                        <m:r>
                          <w:rPr>
                            <w:rFonts w:ascii="Cambria Math" w:hAnsi="Cambria Math"/>
                          </w:rPr>
                          <m:t>t</m:t>
                        </m:r>
                        <m:r>
                          <m:rPr>
                            <m:sty m:val="p"/>
                          </m:rPr>
                          <w:rPr>
                            <w:rFonts w:ascii="Cambria Math" w:hAnsi="Cambria Math"/>
                          </w:rPr>
                          <m:t>=0</m:t>
                        </m:r>
                      </m:lim>
                    </m:limLow>
                  </m:e>
                  <m:lim>
                    <m:r>
                      <w:rPr>
                        <w:rFonts w:ascii="Cambria Math" w:hAnsi="Cambria Math"/>
                      </w:rPr>
                      <m:t>T</m:t>
                    </m:r>
                  </m:lim>
                </m:limUpp>
                <m:sSub>
                  <m:sSubPr>
                    <m:ctrlPr>
                      <w:rPr>
                        <w:rFonts w:ascii="Cambria Math" w:hAnsi="Cambria Math"/>
                      </w:rPr>
                    </m:ctrlPr>
                  </m:sSubPr>
                  <m:e>
                    <m:r>
                      <w:rPr>
                        <w:rFonts w:ascii="Cambria Math" w:hAnsi="Cambria Math"/>
                      </w:rPr>
                      <m:t>Φ</m:t>
                    </m:r>
                  </m:e>
                  <m:sub>
                    <m:r>
                      <w:rPr>
                        <w:rFonts w:ascii="Cambria Math" w:hAnsi="Cambria Math"/>
                      </w:rPr>
                      <m:t>t</m:t>
                    </m:r>
                  </m:sub>
                </m:sSub>
              </m:oMath>
            </m:oMathPara>
          </w:p>
        </w:tc>
        <w:tc>
          <w:tcPr>
            <w:tcW w:w="1587" w:type="dxa"/>
            <w:vAlign w:val="center"/>
          </w:tcPr>
          <w:p w14:paraId="2195392A" w14:textId="77777777" w:rsidR="00C65BD9" w:rsidRDefault="003C66B1">
            <w:pPr>
              <w:spacing w:before="60" w:after="20"/>
              <w:jc w:val="right"/>
            </w:pPr>
            <w:r>
              <w:t>（</w:t>
            </w:r>
            <w:r>
              <w:t>2</w:t>
            </w:r>
            <w:r>
              <w:t>）</w:t>
            </w:r>
          </w:p>
        </w:tc>
      </w:tr>
    </w:tbl>
    <w:p w14:paraId="560D01EC" w14:textId="77777777" w:rsidR="00C65BD9" w:rsidRDefault="003C66B1">
      <w:pPr>
        <w:spacing w:after="90" w:line="264" w:lineRule="auto"/>
        <w:ind w:firstLine="420"/>
      </w:pPr>
      <w:r>
        <w:t>式（</w:t>
      </w:r>
      <w:r>
        <w:t>2</w:t>
      </w:r>
      <w:r>
        <w:t>）中，</w:t>
      </w:r>
      <m:oMath>
        <m:r>
          <w:rPr>
            <w:rFonts w:ascii="Cambria Math" w:hAnsi="Cambria Math"/>
          </w:rPr>
          <m:t>t</m:t>
        </m:r>
      </m:oMath>
      <w:r>
        <w:t>为物理帧索引，</w:t>
      </w:r>
      <m:oMath>
        <m:r>
          <w:rPr>
            <w:rFonts w:ascii="Cambria Math" w:hAnsi="Cambria Math"/>
          </w:rPr>
          <m:t>T</m:t>
        </m:r>
      </m:oMath>
      <w:r>
        <w:t>为末帧索引，</w:t>
      </w:r>
      <m:oMath>
        <m:sSub>
          <m:sSubPr>
            <m:ctrlPr>
              <w:rPr>
                <w:rFonts w:ascii="Cambria Math" w:hAnsi="Cambria Math"/>
              </w:rPr>
            </m:ctrlPr>
          </m:sSubPr>
          <m:e>
            <m:r>
              <w:rPr>
                <w:rFonts w:ascii="Cambria Math" w:hAnsi="Cambria Math"/>
              </w:rPr>
              <m:t>Φ</m:t>
            </m:r>
          </m:e>
          <m:sub>
            <m:r>
              <w:rPr>
                <w:rFonts w:ascii="Cambria Math" w:hAnsi="Cambria Math"/>
              </w:rPr>
              <m:t>t</m:t>
            </m:r>
          </m:sub>
        </m:sSub>
      </m:oMath>
      <w:r>
        <w:t>为瞬时安全包络侵入风险，</w:t>
      </w:r>
      <m:oMath>
        <m:r>
          <w:rPr>
            <w:rFonts w:ascii="Cambria Math" w:hAnsi="Cambria Math"/>
          </w:rPr>
          <m:t>Δt</m:t>
        </m:r>
      </m:oMath>
      <w:r>
        <w:t>为物理步长，</w:t>
      </w:r>
      <m:oMath>
        <m:sSub>
          <m:sSubPr>
            <m:ctrlPr>
              <w:rPr>
                <w:rFonts w:ascii="Cambria Math" w:hAnsi="Cambria Math"/>
              </w:rPr>
            </m:ctrlPr>
          </m:sSubPr>
          <m:e>
            <m:r>
              <w:rPr>
                <w:rFonts w:ascii="Cambria Math" w:hAnsi="Cambria Math"/>
              </w:rPr>
              <m:t>λ</m:t>
            </m:r>
          </m:e>
          <m:sub>
            <m:r>
              <m:rPr>
                <m:sty m:val="p"/>
              </m:rPr>
              <w:rPr>
                <w:rFonts w:ascii="Cambria Math" w:hAnsi="Cambria Math"/>
              </w:rPr>
              <m:t>exp</m:t>
            </m:r>
          </m:sub>
        </m:sSub>
      </m:oMath>
      <w:r>
        <w:t>为非负暴露权重。输出</w:t>
      </w:r>
      <m:oMath>
        <m:r>
          <w:rPr>
            <w:rFonts w:ascii="Cambria Math" w:hAnsi="Cambria Math"/>
          </w:rPr>
          <m:t>R</m:t>
        </m:r>
        <m:r>
          <m:rPr>
            <m:sty m:val="p"/>
          </m:rPr>
          <w:rPr>
            <w:rFonts w:ascii="Cambria Math" w:hAnsi="Cambria Math"/>
          </w:rPr>
          <m:t>(</m:t>
        </m:r>
        <m:r>
          <w:rPr>
            <w:rFonts w:ascii="Cambria Math" w:hAnsi="Cambria Math"/>
          </w:rPr>
          <m:t>τ</m:t>
        </m:r>
        <m:r>
          <m:rPr>
            <m:sty m:val="p"/>
          </m:rPr>
          <w:rPr>
            <w:rFonts w:ascii="Cambria Math" w:hAnsi="Cambria Math"/>
          </w:rPr>
          <m:t>)</m:t>
        </m:r>
      </m:oMath>
      <w:r>
        <w:t>同时反映风险峰值与持续时间，并作为事件筛选、单块风险差与分层得分的共同输入。一种配置取</w:t>
      </w:r>
      <m:oMath>
        <m:r>
          <w:rPr>
            <w:rFonts w:ascii="Cambria Math" w:hAnsi="Cambria Math"/>
          </w:rPr>
          <m:t>Δt</m:t>
        </m:r>
        <m:r>
          <m:rPr>
            <m:sty m:val="p"/>
          </m:rPr>
          <w:rPr>
            <w:rFonts w:ascii="Cambria Math" w:hAnsi="Cambria Math"/>
          </w:rPr>
          <m:t xml:space="preserve">=0.04 </m:t>
        </m:r>
        <m:r>
          <w:rPr>
            <w:rFonts w:ascii="Cambria Math" w:hAnsi="Cambria Math"/>
          </w:rPr>
          <m:t>s</m:t>
        </m:r>
      </m:oMath>
      <w:r>
        <w:t>、</w:t>
      </w:r>
      <m:oMath>
        <m:sSub>
          <m:sSubPr>
            <m:ctrlPr>
              <w:rPr>
                <w:rFonts w:ascii="Cambria Math" w:hAnsi="Cambria Math"/>
              </w:rPr>
            </m:ctrlPr>
          </m:sSubPr>
          <m:e>
            <m:r>
              <w:rPr>
                <w:rFonts w:ascii="Cambria Math" w:hAnsi="Cambria Math"/>
              </w:rPr>
              <m:t>λ</m:t>
            </m:r>
          </m:e>
          <m:sub>
            <m:r>
              <m:rPr>
                <m:sty m:val="p"/>
              </m:rPr>
              <w:rPr>
                <w:rFonts w:ascii="Cambria Math" w:hAnsi="Cambria Math"/>
              </w:rPr>
              <m:t>exp</m:t>
            </m:r>
          </m:sub>
        </m:sSub>
        <m:r>
          <m:rPr>
            <m:sty m:val="p"/>
          </m:rPr>
          <w:rPr>
            <w:rFonts w:ascii="Cambria Math" w:hAnsi="Cambria Math"/>
          </w:rPr>
          <m:t xml:space="preserve">=0.15 </m:t>
        </m:r>
        <m:sSup>
          <m:sSupPr>
            <m:ctrlPr>
              <w:rPr>
                <w:rFonts w:ascii="Cambria Math" w:hAnsi="Cambria Math"/>
              </w:rPr>
            </m:ctrlPr>
          </m:sSupPr>
          <m:e>
            <m:r>
              <w:rPr>
                <w:rFonts w:ascii="Cambria Math" w:hAnsi="Cambria Math"/>
              </w:rPr>
              <m:t>s</m:t>
            </m:r>
          </m:e>
          <m:sup>
            <m:r>
              <m:rPr>
                <m:sty m:val="p"/>
              </m:rPr>
              <w:rPr>
                <w:rFonts w:ascii="Cambria Math" w:hAnsi="Cambria Math"/>
              </w:rPr>
              <m:t>-1</m:t>
            </m:r>
          </m:sup>
        </m:sSup>
      </m:oMath>
      <w:r>
        <w:t>、预测窗</w:t>
      </w:r>
      <m:oMath>
        <m:r>
          <m:rPr>
            <m:sty m:val="p"/>
          </m:rPr>
          <w:rPr>
            <w:rFonts w:ascii="Cambria Math" w:hAnsi="Cambria Math"/>
          </w:rPr>
          <m:t xml:space="preserve">1.5 </m:t>
        </m:r>
        <m:r>
          <w:rPr>
            <w:rFonts w:ascii="Cambria Math" w:hAnsi="Cambria Math"/>
          </w:rPr>
          <m:t>s</m:t>
        </m:r>
      </m:oMath>
      <w:r>
        <w:t>、窗内采样间隔</w:t>
      </w:r>
      <m:oMath>
        <m:r>
          <m:rPr>
            <m:sty m:val="p"/>
          </m:rPr>
          <w:rPr>
            <w:rFonts w:ascii="Cambria Math" w:hAnsi="Cambria Math"/>
          </w:rPr>
          <m:t xml:space="preserve">0.2 </m:t>
        </m:r>
        <m:r>
          <w:rPr>
            <w:rFonts w:ascii="Cambria Math" w:hAnsi="Cambria Math"/>
          </w:rPr>
          <m:t>s</m:t>
        </m:r>
      </m:oMath>
      <w:r>
        <w:t>。</w:t>
      </w:r>
    </w:p>
    <w:p w14:paraId="4C0F8FED" w14:textId="77777777" w:rsidR="00C65BD9" w:rsidRDefault="003C66B1">
      <w:pPr>
        <w:spacing w:after="60" w:line="264" w:lineRule="auto"/>
        <w:ind w:firstLine="420"/>
      </w:pPr>
      <w:r>
        <w:t>目标事件可由已建立的关键事件库载入，也可按预设风险分位数或明确的交互条件选取。若采用极值尾部模型，该模型在本轮开始前固定，仅作为事件选择接口；事件选择阈值与后续搜索门槛分别记录，避免混用。进入同一事件的搜索后，道路、身份、尺寸、初态与有效历史保持一致。</w:t>
      </w:r>
    </w:p>
    <w:p w14:paraId="0C116519" w14:textId="77777777" w:rsidR="00C65BD9" w:rsidRDefault="003C66B1">
      <w:pPr>
        <w:pStyle w:val="21"/>
        <w:spacing w:before="100" w:after="50"/>
      </w:pPr>
      <w:r>
        <w:t xml:space="preserve">5.3 </w:t>
      </w:r>
      <w:r>
        <w:t>固定条件下的参考运动生成</w:t>
      </w:r>
    </w:p>
    <w:p w14:paraId="12601613" w14:textId="77777777" w:rsidR="00C65BD9" w:rsidRDefault="003C66B1">
      <w:pPr>
        <w:spacing w:after="60" w:line="264" w:lineRule="auto"/>
        <w:ind w:firstLine="420"/>
      </w:pPr>
      <w:r>
        <w:t>选定事件后，把道路、车辆身份、尺寸、起始状态与占位掩码作为条件输入。记录轨迹用于提供事件依据与重建参照，不强制背景车辆在后续每个时刻经过记录位置。一种实现由条件归一化流根据初始条件与占位掩码生成各背景车辆的稀疏二维位置结点，以事件起点与这些结点做保形分段三次</w:t>
      </w:r>
      <w:r>
        <w:t>Hermite</w:t>
      </w:r>
      <w:r>
        <w:t>插值得到连续基准位置轨迹，再由条件扩散模型生成联合位置残差，残差经端点与结点约束后与基准轨迹相加，得到背景车辆的软参考运动。</w:t>
      </w:r>
    </w:p>
    <w:tbl>
      <w:tblPr>
        <w:tblW w:w="0" w:type="auto"/>
        <w:tblLayout w:type="fixed"/>
        <w:tblLook w:val="04A0" w:firstRow="1" w:lastRow="0" w:firstColumn="1" w:lastColumn="0" w:noHBand="0" w:noVBand="1"/>
      </w:tblPr>
      <w:tblGrid>
        <w:gridCol w:w="7597"/>
        <w:gridCol w:w="1587"/>
      </w:tblGrid>
      <w:tr w:rsidR="00C65BD9" w14:paraId="7F0A40E4" w14:textId="77777777">
        <w:tc>
          <w:tcPr>
            <w:tcW w:w="7597" w:type="dxa"/>
            <w:vAlign w:val="center"/>
          </w:tcPr>
          <w:p w14:paraId="0B3B8DE7" w14:textId="77777777" w:rsidR="00C65BD9" w:rsidRDefault="003C66B1">
            <w:pPr>
              <w:spacing w:after="20"/>
              <w:jc w:val="center"/>
            </w:pPr>
            <m:oMathPara>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 xml:space="preserve">), </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E</m:t>
                    </m:r>
                  </m:sub>
                </m:sSub>
                <m:r>
                  <m:rPr>
                    <m:sty m:val="p"/>
                  </m:rPr>
                  <w:rPr>
                    <w:rFonts w:ascii="Cambria Math" w:hAnsi="Cambria Math"/>
                  </w:rPr>
                  <m:t>)</m:t>
                </m:r>
              </m:oMath>
            </m:oMathPara>
          </w:p>
        </w:tc>
        <w:tc>
          <w:tcPr>
            <w:tcW w:w="1587" w:type="dxa"/>
            <w:vAlign w:val="center"/>
          </w:tcPr>
          <w:p w14:paraId="06BF96D6" w14:textId="77777777" w:rsidR="00C65BD9" w:rsidRDefault="003C66B1">
            <w:pPr>
              <w:spacing w:before="60" w:after="20"/>
              <w:jc w:val="right"/>
            </w:pPr>
            <w:r>
              <w:t>（</w:t>
            </w:r>
            <w:r>
              <w:t>3</w:t>
            </w:r>
            <w:r>
              <w:t>）</w:t>
            </w:r>
          </w:p>
        </w:tc>
      </w:tr>
    </w:tbl>
    <w:p w14:paraId="47687106" w14:textId="77777777" w:rsidR="00C65BD9" w:rsidRDefault="003C66B1">
      <w:pPr>
        <w:spacing w:after="90" w:line="264" w:lineRule="auto"/>
        <w:ind w:firstLine="420"/>
      </w:pPr>
      <w:r>
        <w:t>式（</w:t>
      </w:r>
      <w:r>
        <w:t>3</w:t>
      </w:r>
      <w:r>
        <w:t>）中，</w:t>
      </w:r>
      <m:oMath>
        <m:r>
          <w:rPr>
            <w:rFonts w:ascii="Cambria Math" w:hAnsi="Cambria Math"/>
          </w:rPr>
          <m:t>K</m:t>
        </m:r>
      </m:oMath>
      <w:r>
        <w:t>为稀疏位置结点，</w:t>
      </w:r>
      <m:oMath>
        <m:sSub>
          <m:sSubPr>
            <m:ctrlPr>
              <w:rPr>
                <w:rFonts w:ascii="Cambria Math" w:hAnsi="Cambria Math"/>
              </w:rPr>
            </m:ctrlPr>
          </m:sSubPr>
          <m:e>
            <m:r>
              <w:rPr>
                <w:rFonts w:ascii="Cambria Math" w:hAnsi="Cambria Math"/>
              </w:rPr>
              <m:t>F</m:t>
            </m:r>
          </m:e>
          <m:sub>
            <m:r>
              <w:rPr>
                <w:rFonts w:ascii="Cambria Math" w:hAnsi="Cambria Math"/>
              </w:rPr>
              <m:t>θ</m:t>
            </m:r>
          </m:sub>
        </m:sSub>
      </m:oMath>
      <w:r>
        <w:t>为条件结点生成映射，</w:t>
      </w:r>
      <m:oMath>
        <m:sSub>
          <m:sSubPr>
            <m:ctrlPr>
              <w:rPr>
                <w:rFonts w:ascii="Cambria Math" w:hAnsi="Cambria Math"/>
              </w:rPr>
            </m:ctrlPr>
          </m:sSubPr>
          <m:e>
            <m:r>
              <w:rPr>
                <w:rFonts w:ascii="Cambria Math" w:hAnsi="Cambria Math"/>
              </w:rPr>
              <m:t>z</m:t>
            </m:r>
          </m:e>
          <m:sub>
            <m:r>
              <w:rPr>
                <w:rFonts w:ascii="Cambria Math" w:hAnsi="Cambria Math"/>
              </w:rPr>
              <m:t>K</m:t>
            </m:r>
          </m:sub>
        </m:sSub>
      </m:oMath>
      <w:r>
        <w:t>为其基空间输入（对应前述参考结点参数组）；</w:t>
      </w:r>
      <m:oMath>
        <m:sSub>
          <m:sSubPr>
            <m:ctrlPr>
              <w:rPr>
                <w:rFonts w:ascii="Cambria Math" w:hAnsi="Cambria Math"/>
              </w:rPr>
            </m:ctrlPr>
          </m:sSubPr>
          <m:e>
            <m:r>
              <w:rPr>
                <w:rFonts w:ascii="Cambria Math" w:hAnsi="Cambria Math"/>
              </w:rPr>
              <m:t>P</m:t>
            </m:r>
          </m:e>
          <m:sub>
            <m:r>
              <w:rPr>
                <w:rFonts w:ascii="Cambria Math" w:hAnsi="Cambria Math"/>
              </w:rPr>
              <m:t>H</m:t>
            </m:r>
          </m:sub>
        </m:sSub>
      </m:oMath>
      <w:r>
        <w:t>为插值基准轨迹，</w:t>
      </w:r>
      <m:oMath>
        <m:sSub>
          <m:sSubPr>
            <m:ctrlPr>
              <w:rPr>
                <w:rFonts w:ascii="Cambria Math" w:hAnsi="Cambria Math"/>
              </w:rPr>
            </m:ctrlPr>
          </m:sSubPr>
          <m:e>
            <m:r>
              <w:rPr>
                <w:rFonts w:ascii="Cambria Math" w:hAnsi="Cambria Math"/>
              </w:rPr>
              <m:t>E</m:t>
            </m:r>
          </m:e>
          <m:sub>
            <m:r>
              <w:rPr>
                <w:rFonts w:ascii="Cambria Math" w:hAnsi="Cambria Math"/>
              </w:rPr>
              <m:t>θ</m:t>
            </m:r>
          </m:sub>
        </m:sSub>
      </m:oMath>
      <w:r>
        <w:t>为条件残差生成映射，</w:t>
      </w:r>
      <m:oMath>
        <m:sSub>
          <m:sSubPr>
            <m:ctrlPr>
              <w:rPr>
                <w:rFonts w:ascii="Cambria Math" w:hAnsi="Cambria Math"/>
              </w:rPr>
            </m:ctrlPr>
          </m:sSubPr>
          <m:e>
            <m:r>
              <w:rPr>
                <w:rFonts w:ascii="Cambria Math" w:hAnsi="Cambria Math"/>
              </w:rPr>
              <m:t>z</m:t>
            </m:r>
          </m:e>
          <m:sub>
            <m:r>
              <w:rPr>
                <w:rFonts w:ascii="Cambria Math" w:hAnsi="Cambria Math"/>
              </w:rPr>
              <m:t>E</m:t>
            </m:r>
          </m:sub>
        </m:sSub>
      </m:oMath>
      <w:r>
        <w:t>为扩散初始噪声（对应前述扩散残差噪声参数组）；</w:t>
      </w:r>
      <m:oMath>
        <m:r>
          <w:rPr>
            <w:rFonts w:ascii="Cambria Math" w:hAnsi="Cambria Math"/>
          </w:rPr>
          <m:t>P</m:t>
        </m:r>
      </m:oMath>
      <w:r>
        <w:t>为输出软参考。</w:t>
      </w:r>
      <m:oMath>
        <m:sSub>
          <m:sSubPr>
            <m:ctrlPr>
              <w:rPr>
                <w:rFonts w:ascii="Cambria Math" w:hAnsi="Cambria Math"/>
              </w:rPr>
            </m:ctrlPr>
          </m:sSubPr>
          <m:e>
            <m:r>
              <w:rPr>
                <w:rFonts w:ascii="Cambria Math" w:hAnsi="Cambria Math"/>
              </w:rPr>
              <m:t>C</m:t>
            </m:r>
          </m:e>
          <m:sub>
            <m:r>
              <m:rPr>
                <m:sty m:val="p"/>
              </m:rPr>
              <w:rPr>
                <w:rFonts w:ascii="Cambria Math" w:hAnsi="Cambria Math"/>
              </w:rPr>
              <m:t>0</m:t>
            </m:r>
          </m:sub>
        </m:sSub>
      </m:oMath>
      <w:r>
        <w:t>与</w:t>
      </w:r>
      <m:oMath>
        <m:r>
          <w:rPr>
            <w:rFonts w:ascii="Cambria Math" w:hAnsi="Cambria Math"/>
          </w:rPr>
          <m:t>M</m:t>
        </m:r>
      </m:oMath>
      <w:r>
        <w:t>在事件的局部比较中保持不变。</w:t>
      </w:r>
    </w:p>
    <w:p w14:paraId="0CC4D94F" w14:textId="77777777" w:rsidR="00C65BD9" w:rsidRDefault="003C66B1">
      <w:pPr>
        <w:spacing w:after="60" w:line="264" w:lineRule="auto"/>
        <w:ind w:firstLine="420"/>
      </w:pPr>
      <w:r>
        <w:t>参考运动经地图、坐标与动力学接口转换为跟踪参考，反馈控制器依据当前状态、参考速度与参考曲率计算基准动作。所述基准动作在当前实际状态上重新计算，因此保持某车辆的输入并不要求其执行轨迹与另一次比较完全相同：生成模型的条件耦合与真实交互都会使其他车辆的后续状态发生变化。这一点同时说明，单块变更的风险差反映</w:t>
      </w:r>
      <w:r>
        <w:lastRenderedPageBreak/>
        <w:t>的是</w:t>
      </w:r>
      <w:r>
        <w:t>“</w:t>
      </w:r>
      <w:r>
        <w:t>在该事件与当前策略下改变这一组</w:t>
      </w:r>
      <w:r>
        <w:t>”</w:t>
      </w:r>
      <w:r>
        <w:t>的实际后果，而不是某一预设扰动幅度的名义影响。</w:t>
      </w:r>
    </w:p>
    <w:p w14:paraId="76D17547" w14:textId="77777777" w:rsidR="00C65BD9" w:rsidRDefault="003C66B1">
      <w:pPr>
        <w:pStyle w:val="21"/>
        <w:spacing w:before="100" w:after="50"/>
      </w:pPr>
      <w:r>
        <w:t xml:space="preserve">5.4 </w:t>
      </w:r>
      <w:r>
        <w:t>参考适用性判断、一次接管与运动承接</w:t>
      </w:r>
    </w:p>
    <w:p w14:paraId="5C8D0CDE" w14:textId="77777777" w:rsidR="00C65BD9" w:rsidRDefault="003C66B1">
      <w:pPr>
        <w:spacing w:after="60" w:line="264" w:lineRule="auto"/>
        <w:ind w:firstLine="420"/>
      </w:pPr>
      <w:r>
        <w:t>为保持生成参考与实际交通的联系，每个物理步以当前联合状态识别前车、侧向进入车辆、目标车道前后车辆以及已经产生响应的主体。响应模型只使用已经实现的状态、有效历史与本车参考；对被测车辆未来运动的预测由当前可观测状态外推得到，不读取其未来控制指令，从而避免把被测策略的内部信息泄露给背景车辆。</w:t>
      </w:r>
    </w:p>
    <w:p w14:paraId="2A338607" w14:textId="77777777" w:rsidR="00C65BD9" w:rsidRDefault="003C66B1">
      <w:pPr>
        <w:spacing w:after="60" w:line="264" w:lineRule="auto"/>
        <w:ind w:firstLine="420"/>
      </w:pPr>
      <w:r>
        <w:t>一种参考适用性判断在经验误差轨迹的多种实现下计算几何冲突支持比例，当支持比例达到阈值，或跟驰、前车离开等交互刺激达到相应阈值时，判定需要响应。门槛在自然数据标定与开发验证后固定，并记录触发时刻、触发主体与触发原因。</w:t>
      </w:r>
    </w:p>
    <w:tbl>
      <w:tblPr>
        <w:tblW w:w="0" w:type="auto"/>
        <w:tblLayout w:type="fixed"/>
        <w:tblLook w:val="04A0" w:firstRow="1" w:lastRow="0" w:firstColumn="1" w:lastColumn="0" w:noHBand="0" w:noVBand="1"/>
      </w:tblPr>
      <w:tblGrid>
        <w:gridCol w:w="7597"/>
        <w:gridCol w:w="1587"/>
      </w:tblGrid>
      <w:tr w:rsidR="00C65BD9" w14:paraId="2DCF8745" w14:textId="77777777">
        <w:tc>
          <w:tcPr>
            <w:tcW w:w="7597" w:type="dxa"/>
            <w:vAlign w:val="center"/>
          </w:tcPr>
          <w:p w14:paraId="15A98B2B" w14:textId="77777777" w:rsidR="00C65BD9" w:rsidRDefault="00F555AD">
            <w:pPr>
              <w:spacing w:after="20"/>
              <w:jc w:val="center"/>
            </w:pPr>
            <m:oMathPara>
              <m:oMath>
                <m:sSubSup>
                  <m:sSubSupPr>
                    <m:ctrlPr>
                      <w:rPr>
                        <w:rFonts w:ascii="Cambria Math" w:hAnsi="Cambria Math"/>
                      </w:rPr>
                    </m:ctrlPr>
                  </m:sSubSupPr>
                  <m:e>
                    <m:r>
                      <w:rPr>
                        <w:rFonts w:ascii="Cambria Math" w:hAnsi="Cambria Math"/>
                      </w:rPr>
                      <m:t>χ</m:t>
                    </m:r>
                  </m:e>
                  <m:sub>
                    <m:r>
                      <w:rPr>
                        <w:rFonts w:ascii="Cambria Math" w:hAnsi="Cambria Math"/>
                      </w:rPr>
                      <m:t>t</m:t>
                    </m:r>
                  </m:sub>
                  <m:sup>
                    <m:r>
                      <w:rPr>
                        <w:rFonts w:ascii="Cambria Math" w:hAnsi="Cambria Math"/>
                      </w:rPr>
                      <m:t>i</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J</m:t>
                    </m:r>
                  </m:den>
                </m:f>
                <m:limUpp>
                  <m:limUppPr>
                    <m:ctrlPr>
                      <w:rPr>
                        <w:rFonts w:ascii="Cambria Math" w:hAnsi="Cambria Math"/>
                      </w:rPr>
                    </m:ctrlPr>
                  </m:limUppPr>
                  <m:e>
                    <m:limLow>
                      <m:limLowPr>
                        <m:ctrlPr>
                          <w:rPr>
                            <w:rFonts w:ascii="Cambria Math" w:hAnsi="Cambria Math"/>
                          </w:rPr>
                        </m:ctrlPr>
                      </m:limLowPr>
                      <m:e>
                        <m:r>
                          <m:rPr>
                            <m:sty m:val="p"/>
                          </m:rPr>
                          <w:rPr>
                            <w:rFonts w:ascii="Cambria Math" w:hAnsi="Cambria Math"/>
                          </w:rPr>
                          <m:t>∑</m:t>
                        </m:r>
                      </m:e>
                      <m:lim>
                        <m:r>
                          <w:rPr>
                            <w:rFonts w:ascii="Cambria Math" w:hAnsi="Cambria Math"/>
                          </w:rPr>
                          <m:t>j</m:t>
                        </m:r>
                        <m:r>
                          <m:rPr>
                            <m:sty m:val="p"/>
                          </m:rPr>
                          <w:rPr>
                            <w:rFonts w:ascii="Cambria Math" w:hAnsi="Cambria Math"/>
                          </w:rPr>
                          <m:t>=1</m:t>
                        </m:r>
                      </m:lim>
                    </m:limLow>
                  </m:e>
                  <m:lim>
                    <m:r>
                      <w:rPr>
                        <w:rFonts w:ascii="Cambria Math" w:hAnsi="Cambria Math"/>
                      </w:rPr>
                      <m:t>J</m:t>
                    </m:r>
                  </m:lim>
                </m:limUpp>
                <m:r>
                  <m:rPr>
                    <m:sty m:val="b"/>
                  </m:rPr>
                  <w:rPr>
                    <w:rFonts w:ascii="Cambria Math" w:hAnsi="Cambria Math"/>
                  </w:rPr>
                  <m:t>1</m:t>
                </m:r>
                <m:d>
                  <m:dPr>
                    <m:begChr m:val="{"/>
                    <m:endChr m:val="}"/>
                    <m:ctrlPr>
                      <w:rPr>
                        <w:rFonts w:ascii="Cambria Math" w:hAnsi="Cambria Math"/>
                      </w:rPr>
                    </m:ctrlPr>
                  </m:dPr>
                  <m:e>
                    <m:r>
                      <m:rPr>
                        <m:sty m:val="p"/>
                      </m:rPr>
                      <w:rPr>
                        <w:rFonts w:ascii="Cambria Math" w:hAnsi="Cambria Math"/>
                      </w:rPr>
                      <m:t>∃</m:t>
                    </m:r>
                    <m:r>
                      <w:rPr>
                        <w:rFonts w:ascii="Cambria Math" w:hAnsi="Cambria Math"/>
                      </w:rPr>
                      <m:t>h</m:t>
                    </m:r>
                    <m:r>
                      <m:rPr>
                        <m:sty m:val="p"/>
                      </m:rPr>
                      <w:rPr>
                        <w:rFonts w:ascii="Cambria Math" w:hAnsi="Cambria Math"/>
                      </w:rPr>
                      <m:t>∈</m:t>
                    </m:r>
                    <m:r>
                      <m:rPr>
                        <m:scr m:val="script"/>
                      </m:rPr>
                      <w:rPr>
                        <w:rFonts w:ascii="Cambria Math" w:hAnsi="Cambria Math"/>
                      </w:rPr>
                      <m:t>T:</m:t>
                    </m:r>
                    <m:sSubSup>
                      <m:sSubSupPr>
                        <m:ctrlPr>
                          <w:rPr>
                            <w:rFonts w:ascii="Cambria Math" w:hAnsi="Cambria Math"/>
                          </w:rPr>
                        </m:ctrlPr>
                      </m:sSubSupPr>
                      <m:e>
                        <m: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h</m:t>
                        </m:r>
                      </m:sub>
                      <m:sup>
                        <m:r>
                          <w:rPr>
                            <w:rFonts w:ascii="Cambria Math" w:hAnsi="Cambria Math"/>
                          </w:rPr>
                          <m:t>i</m:t>
                        </m:r>
                        <m:r>
                          <m:rPr>
                            <m:sty m:val="p"/>
                          </m:rPr>
                          <w:rPr>
                            <w:rFonts w:ascii="Cambria Math" w:hAnsi="Cambria Math"/>
                          </w:rPr>
                          <m:t>,</m:t>
                        </m:r>
                        <m:r>
                          <w:rPr>
                            <w:rFonts w:ascii="Cambria Math" w:hAnsi="Cambria Math"/>
                          </w:rPr>
                          <m:t>j</m:t>
                        </m:r>
                      </m:sup>
                    </m:sSubSup>
                    <m:r>
                      <m:rPr>
                        <m:sty m:val="p"/>
                      </m:rPr>
                      <w:rPr>
                        <w:rFonts w:ascii="Cambria Math" w:hAnsi="Cambria Math"/>
                      </w:rPr>
                      <m:t>=1</m:t>
                    </m:r>
                  </m:e>
                </m:d>
              </m:oMath>
            </m:oMathPara>
          </w:p>
        </w:tc>
        <w:tc>
          <w:tcPr>
            <w:tcW w:w="1587" w:type="dxa"/>
            <w:vAlign w:val="center"/>
          </w:tcPr>
          <w:p w14:paraId="244CB52F" w14:textId="77777777" w:rsidR="00C65BD9" w:rsidRDefault="003C66B1">
            <w:pPr>
              <w:spacing w:before="60" w:after="20"/>
              <w:jc w:val="right"/>
            </w:pPr>
            <w:r>
              <w:t>（</w:t>
            </w:r>
            <w:r>
              <w:t>4</w:t>
            </w:r>
            <w:r>
              <w:t>）</w:t>
            </w:r>
          </w:p>
        </w:tc>
      </w:tr>
    </w:tbl>
    <w:p w14:paraId="0D852894" w14:textId="77777777" w:rsidR="00C65BD9" w:rsidRDefault="003C66B1">
      <w:pPr>
        <w:spacing w:after="90" w:line="264" w:lineRule="auto"/>
        <w:ind w:firstLine="420"/>
      </w:pPr>
      <w:r>
        <w:t>式（</w:t>
      </w:r>
      <w:r>
        <w:t>4</w:t>
      </w:r>
      <w:r>
        <w:t>）中，</w:t>
      </w:r>
      <m:oMath>
        <m:r>
          <w:rPr>
            <w:rFonts w:ascii="Cambria Math" w:hAnsi="Cambria Math"/>
          </w:rPr>
          <m:t>i</m:t>
        </m:r>
      </m:oMath>
      <w:r>
        <w:t>为背景车辆索引，</w:t>
      </w:r>
      <m:oMath>
        <m:r>
          <w:rPr>
            <w:rFonts w:ascii="Cambria Math" w:hAnsi="Cambria Math"/>
          </w:rPr>
          <m:t>J</m:t>
        </m:r>
      </m:oMath>
      <w:r>
        <w:t>为经验误差轨迹实现数，</w:t>
      </w:r>
      <m:oMath>
        <m:r>
          <w:rPr>
            <w:rFonts w:ascii="Cambria Math" w:hAnsi="Cambria Math"/>
          </w:rPr>
          <m:t>j</m:t>
        </m:r>
      </m:oMath>
      <w:r>
        <w:t>为实现索引，</w:t>
      </w:r>
      <m:oMath>
        <m:r>
          <m:rPr>
            <m:scr m:val="script"/>
          </m:rPr>
          <w:rPr>
            <w:rFonts w:ascii="Cambria Math" w:hAnsi="Cambria Math"/>
          </w:rPr>
          <m:t>T</m:t>
        </m:r>
      </m:oMath>
      <w:r>
        <w:t>为预测时间点集合，</w:t>
      </w:r>
      <m:oMath>
        <m:sSubSup>
          <m:sSubSupPr>
            <m:ctrlPr>
              <w:rPr>
                <w:rFonts w:ascii="Cambria Math" w:hAnsi="Cambria Math"/>
              </w:rPr>
            </m:ctrlPr>
          </m:sSubSupPr>
          <m:e>
            <m: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h</m:t>
            </m:r>
          </m:sub>
          <m:sup>
            <m:r>
              <w:rPr>
                <w:rFonts w:ascii="Cambria Math" w:hAnsi="Cambria Math"/>
              </w:rPr>
              <m:t>i</m:t>
            </m:r>
            <m:r>
              <m:rPr>
                <m:sty m:val="p"/>
              </m:rPr>
              <w:rPr>
                <w:rFonts w:ascii="Cambria Math" w:hAnsi="Cambria Math"/>
              </w:rPr>
              <m:t>,</m:t>
            </m:r>
            <m:r>
              <w:rPr>
                <w:rFonts w:ascii="Cambria Math" w:hAnsi="Cambria Math"/>
              </w:rPr>
              <m:t>j</m:t>
            </m:r>
          </m:sup>
        </m:sSubSup>
      </m:oMath>
      <w:r>
        <w:t>为该实现下预测到时间偏移</w:t>
      </w:r>
      <m:oMath>
        <m:r>
          <w:rPr>
            <w:rFonts w:ascii="Cambria Math" w:hAnsi="Cambria Math"/>
          </w:rPr>
          <m:t>h</m:t>
        </m:r>
      </m:oMath>
      <w:r>
        <w:t>时的几何冲突标记，</w:t>
      </w:r>
      <m:oMath>
        <m:r>
          <m:rPr>
            <m:sty m:val="b"/>
          </m:rPr>
          <w:rPr>
            <w:rFonts w:ascii="Cambria Math" w:hAnsi="Cambria Math"/>
          </w:rPr>
          <m:t>1</m:t>
        </m:r>
      </m:oMath>
      <w:r>
        <w:t>为示性函数。输出</w:t>
      </w:r>
      <m:oMath>
        <m:sSubSup>
          <m:sSubSupPr>
            <m:ctrlPr>
              <w:rPr>
                <w:rFonts w:ascii="Cambria Math" w:hAnsi="Cambria Math"/>
              </w:rPr>
            </m:ctrlPr>
          </m:sSubSupPr>
          <m:e>
            <m:r>
              <w:rPr>
                <w:rFonts w:ascii="Cambria Math" w:hAnsi="Cambria Math"/>
              </w:rPr>
              <m:t>χ</m:t>
            </m:r>
          </m:e>
          <m:sub>
            <m:r>
              <w:rPr>
                <w:rFonts w:ascii="Cambria Math" w:hAnsi="Cambria Math"/>
              </w:rPr>
              <m:t>t</m:t>
            </m:r>
          </m:sub>
          <m:sup>
            <m:r>
              <w:rPr>
                <w:rFonts w:ascii="Cambria Math" w:hAnsi="Cambria Math"/>
              </w:rPr>
              <m:t>i</m:t>
            </m:r>
          </m:sup>
        </m:sSubSup>
      </m:oMath>
      <w:r>
        <w:t>为冲突支持比例。一种配置取</w:t>
      </w:r>
      <m:oMath>
        <m:r>
          <w:rPr>
            <w:rFonts w:ascii="Cambria Math" w:hAnsi="Cambria Math"/>
          </w:rPr>
          <m:t>J</m:t>
        </m:r>
        <m:r>
          <m:rPr>
            <m:sty m:val="p"/>
          </m:rPr>
          <w:rPr>
            <w:rFonts w:ascii="Cambria Math" w:hAnsi="Cambria Math"/>
          </w:rPr>
          <m:t>=16</m:t>
        </m:r>
      </m:oMath>
      <w:r>
        <w:t>、门槛</w:t>
      </w:r>
      <m:oMath>
        <m:r>
          <w:rPr>
            <w:rFonts w:ascii="Cambria Math" w:hAnsi="Cambria Math"/>
          </w:rPr>
          <m:t>χ</m:t>
        </m:r>
        <m:r>
          <m:rPr>
            <m:sty m:val="p"/>
          </m:rPr>
          <w:rPr>
            <w:rFonts w:ascii="Cambria Math" w:hAnsi="Cambria Math"/>
          </w:rPr>
          <m:t>≥1/16</m:t>
        </m:r>
      </m:oMath>
      <w:r>
        <w:t>，并要求冲突对之间存在纵向的接近方向或进入关系。</w:t>
      </w:r>
    </w:p>
    <w:p w14:paraId="48726652" w14:textId="77777777" w:rsidR="00C65BD9" w:rsidRDefault="003C66B1">
      <w:pPr>
        <w:spacing w:after="60" w:line="264" w:lineRule="auto"/>
        <w:ind w:firstLine="420"/>
      </w:pPr>
      <w:r>
        <w:t>纵向响应可采用按自然驾驶数据标定的智能驾驶员模型，并结合观测历史、切入关系与持续残差修正；期望速度、最小间距、期望时距、加速度与舒适减速度由联合参数分布取得，单次实例内保持其持续特征。横向响应把换道决策与连续执行分开：依据目标车道实际间距与预期加速度收益选择动作，再由连续轨迹与反馈转向实现。</w:t>
      </w:r>
    </w:p>
    <w:p w14:paraId="67CC263D" w14:textId="77777777" w:rsidR="00C65BD9" w:rsidRDefault="003C66B1">
      <w:pPr>
        <w:spacing w:after="60" w:line="264" w:lineRule="auto"/>
        <w:ind w:firstLine="420"/>
      </w:pPr>
      <w:r>
        <w:t>主实施方式采用单次事件内的一次持续接管。未接管车辆继续由参考跟踪器控制；接管时保存原车道、目标车道、换道是否已经开始、当前进度与上一实际动作，随后由背景驾驶策略依据实际交通控制该车至事件结束；参考到期同样触发一次接管，且不再回到跟踪状态。各车辆在同一时刻的同一状态上完成动作判断后，统一推进动力学。</w:t>
      </w:r>
    </w:p>
    <w:tbl>
      <w:tblPr>
        <w:tblW w:w="0" w:type="auto"/>
        <w:tblLayout w:type="fixed"/>
        <w:tblLook w:val="04A0" w:firstRow="1" w:lastRow="0" w:firstColumn="1" w:lastColumn="0" w:noHBand="0" w:noVBand="1"/>
      </w:tblPr>
      <w:tblGrid>
        <w:gridCol w:w="7597"/>
        <w:gridCol w:w="1587"/>
      </w:tblGrid>
      <w:tr w:rsidR="00C65BD9" w14:paraId="62535CEC" w14:textId="77777777">
        <w:tc>
          <w:tcPr>
            <w:tcW w:w="7597" w:type="dxa"/>
            <w:vAlign w:val="center"/>
          </w:tcPr>
          <w:p w14:paraId="1DE3D2D2" w14:textId="77777777" w:rsidR="00C65BD9" w:rsidRDefault="00F555AD">
            <w:pPr>
              <w:spacing w:after="20"/>
              <w:jc w:val="center"/>
            </w:pPr>
            <m:oMathPara>
              <m:oMath>
                <m:sSubSup>
                  <m:sSubSupPr>
                    <m:ctrlPr>
                      <w:rPr>
                        <w:rFonts w:ascii="Cambria Math" w:hAnsi="Cambria Math"/>
                      </w:rPr>
                    </m:ctrlPr>
                  </m:sSubSupPr>
                  <m:e>
                    <m:r>
                      <w:rPr>
                        <w:rFonts w:ascii="Cambria Math" w:hAnsi="Cambria Math"/>
                      </w:rPr>
                      <m:t>o</m:t>
                    </m:r>
                  </m:e>
                  <m:sub>
                    <m:r>
                      <w:rPr>
                        <w:rFonts w:ascii="Cambria Math" w:hAnsi="Cambria Math"/>
                      </w:rPr>
                      <m:t>t</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t-1</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t</m:t>
                    </m:r>
                  </m:sub>
                  <m:sup>
                    <m:r>
                      <w:rPr>
                        <w:rFonts w:ascii="Cambria Math" w:hAnsi="Cambria Math"/>
                      </w:rPr>
                      <m:t>i</m:t>
                    </m:r>
                  </m:sup>
                </m:sSubSup>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i</m:t>
                    </m:r>
                  </m:sup>
                </m:sSubSup>
                <m:r>
                  <w:rPr>
                    <w:rFonts w:ascii="Cambria Math" w:hAnsi="Cambria Math"/>
                  </w:rPr>
                  <m:t>=</m:t>
                </m:r>
                <m:d>
                  <m:dPr>
                    <m:ctrlPr>
                      <w:rPr>
                        <w:rFonts w:ascii="Cambria Math" w:hAnsi="Cambria Math"/>
                      </w:rPr>
                    </m:ctrlPr>
                  </m:dPr>
                  <m:e>
                    <m:r>
                      <w:rPr>
                        <w:rFonts w:ascii="Cambria Math" w:hAnsi="Cambria Math"/>
                      </w:rPr>
                      <m:t>1-</m:t>
                    </m:r>
                    <m:sSubSup>
                      <m:sSubSupPr>
                        <m:ctrlPr>
                          <w:rPr>
                            <w:rFonts w:ascii="Cambria Math" w:hAnsi="Cambria Math"/>
                          </w:rPr>
                        </m:ctrlPr>
                      </m:sSubSupPr>
                      <m:e>
                        <m:r>
                          <w:rPr>
                            <w:rFonts w:ascii="Cambria Math" w:hAnsi="Cambria Math"/>
                          </w:rPr>
                          <m:t>o</m:t>
                        </m:r>
                      </m:e>
                      <m:sub>
                        <m:r>
                          <w:rPr>
                            <w:rFonts w:ascii="Cambria Math" w:hAnsi="Cambria Math"/>
                          </w:rPr>
                          <m:t>t</m:t>
                        </m:r>
                      </m:sub>
                      <m:sup>
                        <m:r>
                          <w:rPr>
                            <w:rFonts w:ascii="Cambria Math" w:hAnsi="Cambria Math"/>
                          </w:rPr>
                          <m:t>i</m:t>
                        </m:r>
                      </m:sup>
                    </m:sSubSup>
                  </m:e>
                </m:d>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i,</m:t>
                    </m:r>
                    <m:r>
                      <m:rPr>
                        <m:sty m:val="p"/>
                      </m:rPr>
                      <w:rPr>
                        <w:rFonts w:ascii="Cambria Math" w:hAnsi="Cambria Math"/>
                      </w:rPr>
                      <m:t>base</m:t>
                    </m:r>
                  </m:sup>
                </m:sSubSup>
                <m: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t</m:t>
                    </m:r>
                  </m:sub>
                  <m:sup>
                    <m:r>
                      <w:rPr>
                        <w:rFonts w:ascii="Cambria Math" w:hAnsi="Cambria Math"/>
                      </w:rPr>
                      <m:t>i</m:t>
                    </m:r>
                  </m:sup>
                </m:sSubSup>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i,</m:t>
                    </m:r>
                    <m:r>
                      <m:rPr>
                        <m:sty m:val="p"/>
                      </m:rPr>
                      <w:rPr>
                        <w:rFonts w:ascii="Cambria Math" w:hAnsi="Cambria Math"/>
                      </w:rPr>
                      <m:t>resp</m:t>
                    </m:r>
                  </m:sup>
                </m:sSubSup>
              </m:oMath>
            </m:oMathPara>
          </w:p>
        </w:tc>
        <w:tc>
          <w:tcPr>
            <w:tcW w:w="1587" w:type="dxa"/>
            <w:vAlign w:val="center"/>
          </w:tcPr>
          <w:p w14:paraId="481B81E7" w14:textId="77777777" w:rsidR="00C65BD9" w:rsidRDefault="003C66B1">
            <w:pPr>
              <w:spacing w:before="60" w:after="20"/>
              <w:jc w:val="right"/>
            </w:pPr>
            <w:r>
              <w:t>（</w:t>
            </w:r>
            <w:r>
              <w:t>5</w:t>
            </w:r>
            <w:r>
              <w:t>）</w:t>
            </w:r>
          </w:p>
        </w:tc>
      </w:tr>
    </w:tbl>
    <w:p w14:paraId="3320BA0E" w14:textId="77777777" w:rsidR="00C65BD9" w:rsidRDefault="003C66B1">
      <w:pPr>
        <w:spacing w:after="90" w:line="264" w:lineRule="auto"/>
        <w:ind w:firstLine="420"/>
      </w:pPr>
      <w:r>
        <w:t>式（</w:t>
      </w:r>
      <w:r>
        <w:t>5</w:t>
      </w:r>
      <w:r>
        <w:t>）中，</w:t>
      </w:r>
      <m:oMath>
        <m:sSubSup>
          <m:sSubSupPr>
            <m:ctrlPr>
              <w:rPr>
                <w:rFonts w:ascii="Cambria Math" w:hAnsi="Cambria Math"/>
              </w:rPr>
            </m:ctrlPr>
          </m:sSubSupPr>
          <m:e>
            <m:r>
              <w:rPr>
                <w:rFonts w:ascii="Cambria Math" w:hAnsi="Cambria Math"/>
              </w:rPr>
              <m:t>o</m:t>
            </m:r>
          </m:e>
          <m:sub>
            <m:r>
              <w:rPr>
                <w:rFonts w:ascii="Cambria Math" w:hAnsi="Cambria Math"/>
              </w:rPr>
              <m:t>t</m:t>
            </m:r>
          </m:sub>
          <m:sup>
            <m:r>
              <w:rPr>
                <w:rFonts w:ascii="Cambria Math" w:hAnsi="Cambria Math"/>
              </w:rPr>
              <m:t>i</m:t>
            </m:r>
          </m:sup>
        </m:sSubSup>
      </m:oMath>
      <w:r>
        <w:t>为接管状态，初值为</w:t>
      </w:r>
      <w:r>
        <w:t>0</w:t>
      </w:r>
      <w:r>
        <w:t>；</w:t>
      </w:r>
      <m:oMath>
        <m:sSubSup>
          <m:sSubSupPr>
            <m:ctrlPr>
              <w:rPr>
                <w:rFonts w:ascii="Cambria Math" w:hAnsi="Cambria Math"/>
              </w:rPr>
            </m:ctrlPr>
          </m:sSubSupPr>
          <m:e>
            <m:r>
              <w:rPr>
                <w:rFonts w:ascii="Cambria Math" w:hAnsi="Cambria Math"/>
              </w:rPr>
              <m:t>v</m:t>
            </m:r>
          </m:e>
          <m:sub>
            <m:r>
              <w:rPr>
                <w:rFonts w:ascii="Cambria Math" w:hAnsi="Cambria Math"/>
              </w:rPr>
              <m:t>t</m:t>
            </m:r>
          </m:sub>
          <m:sup>
            <m:r>
              <w:rPr>
                <w:rFonts w:ascii="Cambria Math" w:hAnsi="Cambria Math"/>
              </w:rPr>
              <m:t>i</m:t>
            </m:r>
          </m:sup>
        </m:sSubSup>
      </m:oMath>
      <w:r>
        <w:t>为本步触发标记，</w:t>
      </w:r>
      <m:oMath>
        <m:r>
          <m:rPr>
            <m:sty m:val="p"/>
          </m:rPr>
          <w:rPr>
            <w:rFonts w:ascii="Cambria Math" w:hAnsi="Cambria Math"/>
          </w:rPr>
          <m:t>∨</m:t>
        </m:r>
      </m:oMath>
      <w:r>
        <w:t>为逻辑或；</w:t>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i</m:t>
            </m:r>
            <m:r>
              <m:rPr>
                <m:sty m:val="p"/>
              </m:rPr>
              <w:rPr>
                <w:rFonts w:ascii="Cambria Math" w:hAnsi="Cambria Math"/>
              </w:rPr>
              <m:t>,base</m:t>
            </m:r>
          </m:sup>
        </m:sSubSup>
      </m:oMath>
      <w:r>
        <w:t>为参考跟踪动作，</w:t>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i</m:t>
            </m:r>
            <m:r>
              <m:rPr>
                <m:sty m:val="p"/>
              </m:rPr>
              <w:rPr>
                <w:rFonts w:ascii="Cambria Math" w:hAnsi="Cambria Math"/>
              </w:rPr>
              <m:t>,resp</m:t>
            </m:r>
          </m:sup>
        </m:sSubSup>
      </m:oMath>
      <w:r>
        <w:t>为依据实际状态生成的响应动作。两类动作先满足各自接口的可执行限制（加速度、变化率、转向角速度），再经统一动力学推进；接管状态在事件内持续保留，不因参考恢复而撤销。</w:t>
      </w:r>
    </w:p>
    <w:p w14:paraId="098E6948" w14:textId="77777777" w:rsidR="00C65BD9" w:rsidRDefault="003C66B1">
      <w:pPr>
        <w:spacing w:after="60" w:line="264" w:lineRule="auto"/>
        <w:ind w:firstLine="420"/>
      </w:pPr>
      <w:r>
        <w:t>接管标记与实际动作改变分别记录。在当前同一实际状态下计算基准动作，将本步最终下发动作与该基准动作逐分量比较，超过预设数值容差时标记动作已改变；上一实际动作用于限制动作变化率。车辆虽然已经接管，但动作尚未偏离基准时，不以接管标记本身触发向其他车辆的响应传播。后续冲突预测使用已经实现的状态与动作。图</w:t>
      </w:r>
      <w:r>
        <w:t>2</w:t>
      </w:r>
      <w:r>
        <w:t>给出该判别与合成关系。</w:t>
      </w:r>
    </w:p>
    <w:p w14:paraId="3769997E" w14:textId="77777777" w:rsidR="00C65BD9" w:rsidRDefault="003C66B1">
      <w:pPr>
        <w:keepNext/>
        <w:spacing w:before="80" w:after="20"/>
        <w:jc w:val="center"/>
      </w:pPr>
      <w:r>
        <w:rPr>
          <w:noProof/>
        </w:rPr>
        <w:lastRenderedPageBreak/>
        <w:drawing>
          <wp:inline distT="0" distB="0" distL="0" distR="0" wp14:anchorId="7222B919" wp14:editId="3923E5F9">
            <wp:extent cx="5472000" cy="24458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takeover.png"/>
                    <pic:cNvPicPr/>
                  </pic:nvPicPr>
                  <pic:blipFill>
                    <a:blip r:embed="rId9"/>
                    <a:stretch>
                      <a:fillRect/>
                    </a:stretch>
                  </pic:blipFill>
                  <pic:spPr>
                    <a:xfrm>
                      <a:off x="0" y="0"/>
                      <a:ext cx="5472000" cy="2445818"/>
                    </a:xfrm>
                    <a:prstGeom prst="rect">
                      <a:avLst/>
                    </a:prstGeom>
                  </pic:spPr>
                </pic:pic>
              </a:graphicData>
            </a:graphic>
          </wp:inline>
        </w:drawing>
      </w:r>
    </w:p>
    <w:p w14:paraId="6932424D" w14:textId="77777777" w:rsidR="00C65BD9" w:rsidRDefault="003C66B1">
      <w:pPr>
        <w:keepNext/>
        <w:spacing w:after="40"/>
        <w:jc w:val="center"/>
      </w:pPr>
      <w:r>
        <w:rPr>
          <w:b/>
        </w:rPr>
        <w:t>图</w:t>
      </w:r>
      <w:r>
        <w:rPr>
          <w:b/>
        </w:rPr>
        <w:t xml:space="preserve">2  </w:t>
      </w:r>
      <w:r>
        <w:rPr>
          <w:b/>
        </w:rPr>
        <w:t>参考适用性判断、一次接管与运动承接</w:t>
      </w:r>
    </w:p>
    <w:p w14:paraId="48266168" w14:textId="77777777" w:rsidR="00C65BD9" w:rsidRDefault="003C66B1">
      <w:pPr>
        <w:spacing w:after="100" w:line="264" w:lineRule="auto"/>
      </w:pPr>
      <w:r>
        <w:t>参考适用性判断的</w:t>
      </w:r>
      <w:r>
        <w:t>“</w:t>
      </w:r>
      <w:r>
        <w:t>否</w:t>
      </w:r>
      <w:r>
        <w:t>”</w:t>
      </w:r>
      <w:r>
        <w:t>支路继续输出基准动作；</w:t>
      </w:r>
      <w:r>
        <w:t>“</w:t>
      </w:r>
      <w:r>
        <w:t>是</w:t>
      </w:r>
      <w:r>
        <w:t>”</w:t>
      </w:r>
      <w:r>
        <w:t>支路承接当前运动、目标车道与进度后由背景响应控制输出。记录节点分别保存</w:t>
      </w:r>
      <w:r>
        <w:t>“</w:t>
      </w:r>
      <w:r>
        <w:t>控制权已接管</w:t>
      </w:r>
      <w:r>
        <w:t>”</w:t>
      </w:r>
      <w:r>
        <w:t>与</w:t>
      </w:r>
      <w:r>
        <w:t>“</w:t>
      </w:r>
      <w:r>
        <w:t>实际动作已改变</w:t>
      </w:r>
      <w:r>
        <w:t>”</w:t>
      </w:r>
      <w:r>
        <w:t>两个信号，后者才参与向其他车辆传播响应的冲突预测。</w:t>
      </w:r>
    </w:p>
    <w:p w14:paraId="0373C008" w14:textId="77777777" w:rsidR="00C65BD9" w:rsidRDefault="003C66B1">
      <w:pPr>
        <w:spacing w:after="60" w:line="264" w:lineRule="auto"/>
        <w:ind w:firstLine="420"/>
      </w:pPr>
      <w:r>
        <w:t>运动承接的具体处理是：接管后不再以原时间参考的纵向位置要求车辆追赶；尚未开始的换道依据实际目标车道间隙重新决策；已经开始的换道从当前位置、当前横向速度与既有目标车道继续构造可执行轨迹，而不是把车辆拉回换道起点重新执行。由于换道是否开始、进行到何种比例都在接管时被显式保存，后续响应动作可以与已发生的横向运动连续衔接，避免因重新初始化机动造成的位置跳变与横向速度突变。</w:t>
      </w:r>
    </w:p>
    <w:p w14:paraId="0A9A9FF1" w14:textId="77777777" w:rsidR="00C65BD9" w:rsidRDefault="003C66B1">
      <w:pPr>
        <w:spacing w:after="60" w:line="264" w:lineRule="auto"/>
        <w:ind w:firstLine="420"/>
      </w:pPr>
      <w:r>
        <w:t>在需要继续利用原空间路径的另一实施方式中，把路径形状与到达时间分开表示：实际进度接近参考时按时间查询；因交互产生明显进度偏移后，在纵向单调的路径区段按实际纵向位置重新查询横向参考，或在一般道路上按弧长投影查询。</w:t>
      </w:r>
    </w:p>
    <w:tbl>
      <w:tblPr>
        <w:tblW w:w="0" w:type="auto"/>
        <w:tblLayout w:type="fixed"/>
        <w:tblLook w:val="04A0" w:firstRow="1" w:lastRow="0" w:firstColumn="1" w:lastColumn="0" w:noHBand="0" w:noVBand="1"/>
      </w:tblPr>
      <w:tblGrid>
        <w:gridCol w:w="7597"/>
        <w:gridCol w:w="1587"/>
      </w:tblGrid>
      <w:tr w:rsidR="00C65BD9" w14:paraId="7C521A13" w14:textId="77777777">
        <w:tc>
          <w:tcPr>
            <w:tcW w:w="7597" w:type="dxa"/>
            <w:vAlign w:val="center"/>
          </w:tcPr>
          <w:p w14:paraId="68F69A65" w14:textId="77777777" w:rsidR="00C65BD9" w:rsidRDefault="00F555AD">
            <w:pPr>
              <w:spacing w:after="20"/>
              <w:jc w:val="center"/>
            </w:pPr>
            <m:oMathPara>
              <m:oMath>
                <m:sSubSup>
                  <m:sSubSupPr>
                    <m:ctrlPr>
                      <w:rPr>
                        <w:rFonts w:ascii="Cambria Math" w:hAnsi="Cambria Math"/>
                      </w:rPr>
                    </m:ctrlPr>
                  </m:sSubSupPr>
                  <m:e>
                    <m:r>
                      <w:rPr>
                        <w:rFonts w:ascii="Cambria Math" w:hAnsi="Cambria Math"/>
                      </w:rPr>
                      <m:t>η</m:t>
                    </m:r>
                  </m:e>
                  <m:sub>
                    <m:r>
                      <w:rPr>
                        <w:rFonts w:ascii="Cambria Math" w:hAnsi="Cambria Math"/>
                      </w:rPr>
                      <m:t>t</m:t>
                    </m:r>
                  </m:sub>
                  <m:sup>
                    <m:r>
                      <w:rPr>
                        <w:rFonts w:ascii="Cambria Math" w:hAnsi="Cambria Math"/>
                      </w:rPr>
                      <m:t>i</m:t>
                    </m:r>
                  </m:sup>
                </m:sSubSup>
                <m:r>
                  <m:rPr>
                    <m:sty m:val="p"/>
                  </m:rPr>
                  <w:rPr>
                    <w:rFonts w:ascii="Cambria Math" w:hAnsi="Cambria Math"/>
                  </w:rPr>
                  <m:t>=clip</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j</m:t>
                            </m:r>
                          </m:sub>
                          <m:sup>
                            <m:r>
                              <w:rPr>
                                <w:rFonts w:ascii="Cambria Math" w:hAnsi="Cambria Math"/>
                              </w:rPr>
                              <m:t>i</m:t>
                            </m:r>
                          </m:sup>
                        </m:sSubSup>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j</m:t>
                            </m:r>
                            <m:r>
                              <m:rPr>
                                <m:sty m:val="p"/>
                              </m:rPr>
                              <w:rPr>
                                <w:rFonts w:ascii="Cambria Math" w:hAnsi="Cambria Math"/>
                              </w:rPr>
                              <m:t>+1</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j</m:t>
                            </m:r>
                          </m:sub>
                          <m:sup>
                            <m:r>
                              <w:rPr>
                                <w:rFonts w:ascii="Cambria Math" w:hAnsi="Cambria Math"/>
                              </w:rPr>
                              <m:t>i</m:t>
                            </m:r>
                          </m:sup>
                        </m:sSubSup>
                      </m:den>
                    </m:f>
                    <m:r>
                      <m:rPr>
                        <m:sty m:val="p"/>
                      </m:rPr>
                      <w:rPr>
                        <w:rFonts w:ascii="Cambria Math" w:hAnsi="Cambria Math"/>
                      </w:rPr>
                      <m:t>,0,1</m:t>
                    </m:r>
                  </m:e>
                </m:d>
                <m:r>
                  <m:rPr>
                    <m:sty m:val="p"/>
                  </m:rP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i</m:t>
                    </m:r>
                    <m:r>
                      <m:rPr>
                        <m:sty m:val="p"/>
                      </m:rPr>
                      <w:rPr>
                        <w:rFonts w:ascii="Cambria Math" w:hAnsi="Cambria Math"/>
                      </w:rPr>
                      <m:t>,ref</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y</m:t>
                        </m:r>
                      </m:e>
                    </m:acc>
                  </m:e>
                  <m:sub>
                    <m:r>
                      <w:rPr>
                        <w:rFonts w:ascii="Cambria Math" w:hAnsi="Cambria Math"/>
                      </w:rPr>
                      <m:t>j</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t</m:t>
                    </m:r>
                  </m:sub>
                  <m:sup>
                    <m:r>
                      <w:rPr>
                        <w:rFonts w:ascii="Cambria Math" w:hAnsi="Cambria Math"/>
                      </w:rPr>
                      <m:t>i</m:t>
                    </m:r>
                  </m:sup>
                </m:sSubSup>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y</m:t>
                            </m:r>
                          </m:e>
                        </m:acc>
                      </m:e>
                      <m:sub>
                        <m:r>
                          <w:rPr>
                            <w:rFonts w:ascii="Cambria Math" w:hAnsi="Cambria Math"/>
                          </w:rPr>
                          <m:t>j</m:t>
                        </m:r>
                        <m:r>
                          <m:rPr>
                            <m:sty m:val="p"/>
                          </m:rPr>
                          <w:rPr>
                            <w:rFonts w:ascii="Cambria Math" w:hAnsi="Cambria Math"/>
                          </w:rPr>
                          <m:t>+1</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y</m:t>
                            </m:r>
                          </m:e>
                        </m:acc>
                      </m:e>
                      <m:sub>
                        <m:r>
                          <w:rPr>
                            <w:rFonts w:ascii="Cambria Math" w:hAnsi="Cambria Math"/>
                          </w:rPr>
                          <m:t>j</m:t>
                        </m:r>
                      </m:sub>
                      <m:sup>
                        <m:r>
                          <w:rPr>
                            <w:rFonts w:ascii="Cambria Math" w:hAnsi="Cambria Math"/>
                          </w:rPr>
                          <m:t>i</m:t>
                        </m:r>
                      </m:sup>
                    </m:sSubSup>
                  </m:e>
                </m:d>
              </m:oMath>
            </m:oMathPara>
          </w:p>
        </w:tc>
        <w:tc>
          <w:tcPr>
            <w:tcW w:w="1587" w:type="dxa"/>
            <w:vAlign w:val="center"/>
          </w:tcPr>
          <w:p w14:paraId="578DF739" w14:textId="77777777" w:rsidR="00C65BD9" w:rsidRDefault="003C66B1">
            <w:pPr>
              <w:spacing w:before="60" w:after="20"/>
              <w:jc w:val="right"/>
            </w:pPr>
            <w:r>
              <w:t>（</w:t>
            </w:r>
            <w:r>
              <w:t>6</w:t>
            </w:r>
            <w:r>
              <w:t>）</w:t>
            </w:r>
          </w:p>
        </w:tc>
      </w:tr>
    </w:tbl>
    <w:p w14:paraId="74BF38F8" w14:textId="77777777" w:rsidR="00C65BD9" w:rsidRDefault="003C66B1">
      <w:pPr>
        <w:spacing w:after="90" w:line="264" w:lineRule="auto"/>
        <w:ind w:firstLine="420"/>
      </w:pPr>
      <w:r>
        <w:t>式（</w:t>
      </w:r>
      <w:r>
        <w:t>6</w:t>
      </w:r>
      <w:r>
        <w:t>）中，</w:t>
      </w:r>
      <m:oMath>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i</m:t>
            </m:r>
          </m:sup>
        </m:sSubSup>
      </m:oMath>
      <w:r>
        <w:t>为车辆实际纵向位置，</w:t>
      </w:r>
      <m:oMath>
        <m:r>
          <w:rPr>
            <w:rFonts w:ascii="Cambria Math" w:hAnsi="Cambria Math"/>
          </w:rPr>
          <m:t>j</m:t>
        </m:r>
      </m:oMath>
      <w:r>
        <w:t>为包围该位置的参考路径区间索引，</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j</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y</m:t>
                </m:r>
              </m:e>
            </m:acc>
          </m:e>
          <m:sub>
            <m:r>
              <w:rPr>
                <w:rFonts w:ascii="Cambria Math" w:hAnsi="Cambria Math"/>
              </w:rPr>
              <m:t>j</m:t>
            </m:r>
          </m:sub>
          <m:sup>
            <m:r>
              <w:rPr>
                <w:rFonts w:ascii="Cambria Math" w:hAnsi="Cambria Math"/>
              </w:rPr>
              <m:t>i</m:t>
            </m:r>
          </m:sup>
        </m:sSubSup>
      </m:oMath>
      <w:r>
        <w:t>为该路径结点坐标，</w:t>
      </w:r>
      <m:oMath>
        <m:sSubSup>
          <m:sSubSupPr>
            <m:ctrlPr>
              <w:rPr>
                <w:rFonts w:ascii="Cambria Math" w:hAnsi="Cambria Math"/>
              </w:rPr>
            </m:ctrlPr>
          </m:sSubSupPr>
          <m:e>
            <m:r>
              <w:rPr>
                <w:rFonts w:ascii="Cambria Math" w:hAnsi="Cambria Math"/>
              </w:rPr>
              <m:t>η</m:t>
            </m:r>
          </m:e>
          <m:sub>
            <m:r>
              <w:rPr>
                <w:rFonts w:ascii="Cambria Math" w:hAnsi="Cambria Math"/>
              </w:rPr>
              <m:t>t</m:t>
            </m:r>
          </m:sub>
          <m:sup>
            <m:r>
              <w:rPr>
                <w:rFonts w:ascii="Cambria Math" w:hAnsi="Cambria Math"/>
              </w:rPr>
              <m:t>i</m:t>
            </m:r>
          </m:sup>
        </m:sSubSup>
      </m:oMath>
      <w:r>
        <w:t>为区间插值比例，</w:t>
      </w:r>
      <m:oMath>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i</m:t>
            </m:r>
            <m:r>
              <m:rPr>
                <m:sty m:val="p"/>
              </m:rPr>
              <w:rPr>
                <w:rFonts w:ascii="Cambria Math" w:hAnsi="Cambria Math"/>
              </w:rPr>
              <m:t>,ref</m:t>
            </m:r>
          </m:sup>
        </m:sSubSup>
      </m:oMath>
      <w:r>
        <w:t>为输出横向参考。仅在分母大于预设正阈值时使用；重复纵向位置先合并或跳过，停车时保持当前路径参考。采用空间查询时，切换阈值、参考进度与当前换道状态一并保存；是否在状态恢复相容后释放响应控制可在事件开始前选定，且与一次持续接管分别配置，配对比较始终使用同一种执行方式。</w:t>
      </w:r>
    </w:p>
    <w:p w14:paraId="66F97BDA" w14:textId="77777777" w:rsidR="00C65BD9" w:rsidRDefault="003C66B1">
      <w:pPr>
        <w:pStyle w:val="21"/>
        <w:spacing w:before="100" w:after="50"/>
      </w:pPr>
      <w:r>
        <w:t xml:space="preserve">5.5 </w:t>
      </w:r>
      <w:r>
        <w:t>单块配对比较与参数组选择概率</w:t>
      </w:r>
    </w:p>
    <w:p w14:paraId="0C113A7B" w14:textId="77777777" w:rsidR="00C65BD9" w:rsidRDefault="003C66B1">
      <w:pPr>
        <w:spacing w:after="60" w:line="264" w:lineRule="auto"/>
        <w:ind w:firstLine="420"/>
      </w:pPr>
      <w:r>
        <w:t>实际执行给出风险最大的相关车辆、关键时刻与交互阶段，据此确定本次可以选择的参数组集合</w:t>
      </w:r>
      <m:oMath>
        <m:sSub>
          <m:sSubPr>
            <m:ctrlPr>
              <w:rPr>
                <w:rFonts w:ascii="Cambria Math" w:hAnsi="Cambria Math"/>
              </w:rPr>
            </m:ctrlPr>
          </m:sSubPr>
          <m:e>
            <m:r>
              <w:rPr>
                <w:rFonts w:ascii="Cambria Math" w:hAnsi="Cambria Math"/>
              </w:rPr>
              <m:t>B</m:t>
            </m:r>
          </m:e>
          <m:sub>
            <m:r>
              <w:rPr>
                <w:rFonts w:ascii="Cambria Math" w:hAnsi="Cambria Math"/>
              </w:rPr>
              <m:t>e</m:t>
            </m:r>
          </m:sub>
        </m:sSub>
      </m:oMath>
      <w:r>
        <w:t>。属于关键车辆或其直接交互车辆、且作用时间覆盖相关阶段的组保留，其适用权重</w:t>
      </w:r>
      <m:oMath>
        <m:sSub>
          <m:sSubPr>
            <m:ctrlPr>
              <w:rPr>
                <w:rFonts w:ascii="Cambria Math" w:hAnsi="Cambria Math"/>
              </w:rPr>
            </m:ctrlPr>
          </m:sSubPr>
          <m:e>
            <m:r>
              <w:rPr>
                <w:rFonts w:ascii="Cambria Math" w:hAnsi="Cambria Math"/>
              </w:rPr>
              <m:t>a</m:t>
            </m:r>
          </m:e>
          <m:sub>
            <m:r>
              <w:rPr>
                <w:rFonts w:ascii="Cambria Math" w:hAnsi="Cambria Math"/>
              </w:rPr>
              <m:t>b</m:t>
            </m:r>
          </m:sub>
        </m:sSub>
      </m:oMath>
      <w:r>
        <w:t>取</w:t>
      </w:r>
      <w:r>
        <w:t>1</w:t>
      </w:r>
      <w:r>
        <w:t>；其余组不进入该次候选集合。没有有效关键车辆时，按事件有效背景位置选取可变组。响应随机量可限定在关键时刻前</w:t>
      </w:r>
      <w:r>
        <w:t>25</w:t>
      </w:r>
      <w:r>
        <w:t>个物理帧的窗口内；背景响应标定量用于起始决策，其作用时段为单帧。</w:t>
      </w:r>
    </w:p>
    <w:p w14:paraId="0BFD43D3" w14:textId="77777777" w:rsidR="00C65BD9" w:rsidRDefault="003C66B1">
      <w:pPr>
        <w:spacing w:after="60" w:line="264" w:lineRule="auto"/>
        <w:ind w:firstLine="420"/>
      </w:pPr>
      <w:r>
        <w:t>对于选中的参数组，保持事件、被测策略、环境参数、非选中参数组及非选中随机输入逐项一致，只替换该组，从事件起点重新执行。其他车辆可以因实际交互产生不同响应。原输入与变更输入均有效时，实际风险差进入该组反馈；原输入已有完整可重放结果时可以复用，避免重复执行对照臂。</w:t>
      </w:r>
    </w:p>
    <w:tbl>
      <w:tblPr>
        <w:tblW w:w="0" w:type="auto"/>
        <w:tblLayout w:type="fixed"/>
        <w:tblLook w:val="04A0" w:firstRow="1" w:lastRow="0" w:firstColumn="1" w:lastColumn="0" w:noHBand="0" w:noVBand="1"/>
      </w:tblPr>
      <w:tblGrid>
        <w:gridCol w:w="7597"/>
        <w:gridCol w:w="1587"/>
      </w:tblGrid>
      <w:tr w:rsidR="00C65BD9" w14:paraId="7DF7C2C7" w14:textId="77777777">
        <w:tc>
          <w:tcPr>
            <w:tcW w:w="7597" w:type="dxa"/>
            <w:vAlign w:val="center"/>
          </w:tcPr>
          <w:p w14:paraId="0E1F9F8A" w14:textId="77777777" w:rsidR="00C65BD9" w:rsidRDefault="00F555AD">
            <w:pPr>
              <w:spacing w:after="20"/>
              <w:jc w:val="center"/>
            </w:pPr>
            <m:oMathPara>
              <m:oMath>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L</m:t>
                        </m:r>
                      </m:e>
                      <m:sub>
                        <m:r>
                          <w:rPr>
                            <w:rFonts w:ascii="Cambria Math" w:hAnsi="Cambria Math"/>
                          </w:rPr>
                          <m:t>b</m:t>
                        </m:r>
                      </m:sub>
                    </m:sSub>
                  </m:den>
                </m:f>
                <m:sSubSup>
                  <m:sSubSupPr>
                    <m:ctrlPr>
                      <w:rPr>
                        <w:rFonts w:ascii="Cambria Math" w:hAnsi="Cambria Math"/>
                      </w:rPr>
                    </m:ctrlPr>
                  </m:sSubSupPr>
                  <m:e>
                    <m:r>
                      <w:rPr>
                        <w:rFonts w:ascii="Cambria Math" w:hAnsi="Cambria Math"/>
                      </w:rPr>
                      <m:t>∑</m:t>
                    </m:r>
                  </m:e>
                  <m:sub>
                    <m:r>
                      <w:rPr>
                        <w:rFonts w:ascii="Cambria Math" w:hAnsi="Cambria Math"/>
                      </w:rPr>
                      <m:t>r=1</m:t>
                    </m:r>
                  </m:sub>
                  <m:sup>
                    <m:sSub>
                      <m:sSubPr>
                        <m:ctrlPr>
                          <w:rPr>
                            <w:rFonts w:ascii="Cambria Math" w:hAnsi="Cambria Math"/>
                          </w:rPr>
                        </m:ctrlPr>
                      </m:sSubPr>
                      <m:e>
                        <m:r>
                          <w:rPr>
                            <w:rFonts w:ascii="Cambria Math" w:hAnsi="Cambria Math"/>
                          </w:rPr>
                          <m:t>L</m:t>
                        </m:r>
                      </m:e>
                      <m:sub>
                        <m:r>
                          <w:rPr>
                            <w:rFonts w:ascii="Cambria Math" w:hAnsi="Cambria Math"/>
                          </w:rPr>
                          <m:t>b</m:t>
                        </m:r>
                      </m:sub>
                    </m:sSub>
                  </m:sup>
                </m:sSubSup>
                <m:r>
                  <m:rPr>
                    <m:sty m:val="p"/>
                  </m:rPr>
                  <w:rPr>
                    <w:rFonts w:ascii="Cambria Math" w:hAnsi="Cambria Math"/>
                  </w:rPr>
                  <m:t>min</m:t>
                </m:r>
                <m:d>
                  <m:dPr>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b,r</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b,r</m:t>
                                </m:r>
                              </m:sub>
                            </m:sSub>
                          </m:e>
                        </m:d>
                      </m:num>
                      <m:den>
                        <m: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b,r</m:t>
                            </m:r>
                          </m:sub>
                        </m:sSub>
                      </m:den>
                    </m:f>
                    <m: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max</m:t>
                        </m:r>
                      </m:sub>
                    </m:sSub>
                  </m:e>
                </m:d>
              </m:oMath>
            </m:oMathPara>
          </w:p>
        </w:tc>
        <w:tc>
          <w:tcPr>
            <w:tcW w:w="1587" w:type="dxa"/>
            <w:vAlign w:val="center"/>
          </w:tcPr>
          <w:p w14:paraId="6E383936" w14:textId="77777777" w:rsidR="00C65BD9" w:rsidRDefault="003C66B1">
            <w:pPr>
              <w:spacing w:before="60" w:after="20"/>
              <w:jc w:val="right"/>
            </w:pPr>
            <w:r>
              <w:t>（</w:t>
            </w:r>
            <w:r>
              <w:t>7</w:t>
            </w:r>
            <w:r>
              <w:t>）</w:t>
            </w:r>
          </w:p>
        </w:tc>
      </w:tr>
    </w:tbl>
    <w:p w14:paraId="24F8375E" w14:textId="77777777" w:rsidR="00C65BD9" w:rsidRDefault="003C66B1">
      <w:pPr>
        <w:spacing w:after="90" w:line="264" w:lineRule="auto"/>
        <w:ind w:firstLine="420"/>
      </w:pPr>
      <w:r>
        <w:t>式（</w:t>
      </w:r>
      <w:r>
        <w:t>7</w:t>
      </w:r>
      <w:r>
        <w:t>）中，</w:t>
      </w:r>
      <m:oMath>
        <m:r>
          <w:rPr>
            <w:rFonts w:ascii="Cambria Math" w:hAnsi="Cambria Math"/>
          </w:rPr>
          <m:t>b</m:t>
        </m:r>
      </m:oMath>
      <w:r>
        <w:t>为可变参数组索引，</w:t>
      </w:r>
      <m:oMath>
        <m:sSub>
          <m:sSubPr>
            <m:ctrlPr>
              <w:rPr>
                <w:rFonts w:ascii="Cambria Math" w:hAnsi="Cambria Math"/>
              </w:rPr>
            </m:ctrlPr>
          </m:sSubPr>
          <m:e>
            <m:r>
              <w:rPr>
                <w:rFonts w:ascii="Cambria Math" w:hAnsi="Cambria Math"/>
              </w:rPr>
              <m:t>L</m:t>
            </m:r>
          </m:e>
          <m:sub>
            <m:r>
              <w:rPr>
                <w:rFonts w:ascii="Cambria Math" w:hAnsi="Cambria Math"/>
              </w:rPr>
              <m:t>b</m:t>
            </m:r>
          </m:sub>
        </m:sSub>
      </m:oMath>
      <w:r>
        <w:t>为该组有效配对数，</w:t>
      </w:r>
      <m:oMath>
        <m:r>
          <w:rPr>
            <w:rFonts w:ascii="Cambria Math" w:hAnsi="Cambria Math"/>
          </w:rPr>
          <m:t>r</m:t>
        </m:r>
      </m:oMath>
      <w:r>
        <w:t>为配对索引；</w:t>
      </w:r>
      <m:oMath>
        <m:sSub>
          <m:sSubPr>
            <m:ctrlPr>
              <w:rPr>
                <w:rFonts w:ascii="Cambria Math" w:hAnsi="Cambria Math"/>
              </w:rPr>
            </m:ctrlPr>
          </m:sSubPr>
          <m:e>
            <m:r>
              <w:rPr>
                <w:rFonts w:ascii="Cambria Math" w:hAnsi="Cambria Math"/>
              </w:rPr>
              <m:t>R</m:t>
            </m:r>
          </m:e>
          <m:sub>
            <m:r>
              <w:rPr>
                <w:rFonts w:ascii="Cambria Math" w:hAnsi="Cambria Math"/>
              </w:rPr>
              <m:t>b,r</m:t>
            </m:r>
          </m:sub>
        </m:sSub>
      </m:oMath>
      <w:r>
        <w:t>与</w:t>
      </w:r>
      <m:oMath>
        <m:sSubSup>
          <m:sSubSupPr>
            <m:ctrlPr>
              <w:rPr>
                <w:rFonts w:ascii="Cambria Math" w:hAnsi="Cambria Math"/>
              </w:rPr>
            </m:ctrlPr>
          </m:sSubSupPr>
          <m:e>
            <m:r>
              <w:rPr>
                <w:rFonts w:ascii="Cambria Math" w:hAnsi="Cambria Math"/>
              </w:rPr>
              <m:t>R</m:t>
            </m:r>
          </m:e>
          <m:sub>
            <m:r>
              <w:rPr>
                <w:rFonts w:ascii="Cambria Math" w:hAnsi="Cambria Math"/>
              </w:rPr>
              <m:t>b,r</m:t>
            </m:r>
          </m:sub>
          <m:sup>
            <m:r>
              <w:rPr>
                <w:rFonts w:ascii="Cambria Math" w:hAnsi="Cambria Math"/>
              </w:rPr>
              <m:t>'</m:t>
            </m:r>
          </m:sup>
        </m:sSubSup>
      </m:oMath>
      <w:r>
        <w:t>分别为原输入和单组变更输入的实际风险；</w:t>
      </w:r>
      <m:oMath>
        <m:sSub>
          <m:sSubPr>
            <m:ctrlPr>
              <w:rPr>
                <w:rFonts w:ascii="Cambria Math" w:hAnsi="Cambria Math"/>
              </w:rPr>
            </m:ctrlPr>
          </m:sSubPr>
          <m:e>
            <m:r>
              <w:rPr>
                <w:rFonts w:ascii="Cambria Math" w:hAnsi="Cambria Math"/>
              </w:rPr>
              <m:t>d</m:t>
            </m:r>
          </m:e>
          <m:sub>
            <m:r>
              <m:rPr>
                <m:sty m:val="p"/>
              </m:rPr>
              <w:rPr>
                <w:rFonts w:ascii="Cambria Math" w:hAnsi="Cambria Math"/>
              </w:rPr>
              <m:t>max</m:t>
            </m:r>
          </m:sub>
        </m:sSub>
      </m:oMath>
      <w:r>
        <w:t>为截断上限，一种配置取</w:t>
      </w:r>
      <w:r>
        <w:t>10</w:t>
      </w:r>
      <w:r>
        <w:t>。绝对风险差衡量该组改变所产生的影响，风险升降由后续执行与准入判据判断。除以</w:t>
      </w:r>
      <m:oMath>
        <m: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b,r</m:t>
            </m:r>
          </m:sub>
        </m:sSub>
      </m:oMath>
      <w:r>
        <w:t>用于按基准风险归一化。</w:t>
      </w:r>
      <m:oMath>
        <m:sSub>
          <m:sSubPr>
            <m:ctrlPr>
              <w:rPr>
                <w:rFonts w:ascii="Cambria Math" w:hAnsi="Cambria Math"/>
              </w:rPr>
            </m:ctrlPr>
          </m:sSubPr>
          <m:e>
            <m:r>
              <w:rPr>
                <w:rFonts w:ascii="Cambria Math" w:hAnsi="Cambria Math"/>
              </w:rPr>
              <m:t>L</m:t>
            </m:r>
          </m:e>
          <m:sub>
            <m:r>
              <w:rPr>
                <w:rFonts w:ascii="Cambria Math" w:hAnsi="Cambria Math"/>
              </w:rPr>
              <m:t>b</m:t>
            </m:r>
          </m:sub>
        </m:sSub>
        <m:r>
          <w:rPr>
            <w:rFonts w:ascii="Cambria Math" w:hAnsi="Cambria Math"/>
          </w:rPr>
          <m:t>=0</m:t>
        </m:r>
      </m:oMath>
      <w:r>
        <w:t>时不计算该均值，并保留原敏感度。</w:t>
      </w:r>
    </w:p>
    <w:tbl>
      <w:tblPr>
        <w:tblW w:w="0" w:type="auto"/>
        <w:tblLayout w:type="fixed"/>
        <w:tblLook w:val="04A0" w:firstRow="1" w:lastRow="0" w:firstColumn="1" w:lastColumn="0" w:noHBand="0" w:noVBand="1"/>
      </w:tblPr>
      <w:tblGrid>
        <w:gridCol w:w="7597"/>
        <w:gridCol w:w="1587"/>
      </w:tblGrid>
      <w:tr w:rsidR="00C65BD9" w14:paraId="57AD02CA" w14:textId="77777777">
        <w:tc>
          <w:tcPr>
            <w:tcW w:w="7597" w:type="dxa"/>
            <w:vAlign w:val="center"/>
          </w:tcPr>
          <w:p w14:paraId="6170DA5A" w14:textId="77777777" w:rsidR="00C65BD9" w:rsidRDefault="00F555AD">
            <w:pPr>
              <w:spacing w:after="20"/>
              <w:jc w:val="center"/>
            </w:pPr>
            <m:oMathPara>
              <m:oMath>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m:t>
                </m:r>
                <m:d>
                  <m:dPr>
                    <m:ctrlPr>
                      <w:rPr>
                        <w:rFonts w:ascii="Cambria Math" w:hAnsi="Cambria Math"/>
                      </w:rPr>
                    </m:ctrlPr>
                  </m:dPr>
                  <m:e>
                    <m:r>
                      <w:rPr>
                        <w:rFonts w:ascii="Cambria Math" w:hAnsi="Cambria Math"/>
                      </w:rPr>
                      <m:t>1-ρ</m:t>
                    </m:r>
                  </m:e>
                </m:d>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+ρ</m:t>
                </m:r>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b</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b</m:t>
                        </m:r>
                      </m:sub>
                    </m:sSub>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+δ</m:t>
                    </m:r>
                  </m:num>
                  <m:den>
                    <m:sSub>
                      <m:sSubPr>
                        <m:ctrlPr>
                          <w:rPr>
                            <w:rFonts w:ascii="Cambria Math" w:hAnsi="Cambria Math"/>
                          </w:rPr>
                        </m:ctrlPr>
                      </m:sSubPr>
                      <m:e>
                        <m:r>
                          <w:rPr>
                            <w:rFonts w:ascii="Cambria Math" w:hAnsi="Cambria Math"/>
                          </w:rPr>
                          <m:t>∑</m:t>
                        </m:r>
                      </m:e>
                      <m:sub>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e</m:t>
                            </m:r>
                          </m:sub>
                        </m:sSub>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c</m:t>
                            </m:r>
                          </m:sub>
                        </m:sSub>
                        <m:sSub>
                          <m:sSubPr>
                            <m:ctrlPr>
                              <w:rPr>
                                <w:rFonts w:ascii="Cambria Math" w:hAnsi="Cambria Math"/>
                              </w:rPr>
                            </m:ctrlPr>
                          </m:sSubPr>
                          <m:e>
                            <m:r>
                              <w:rPr>
                                <w:rFonts w:ascii="Cambria Math" w:hAnsi="Cambria Math"/>
                              </w:rPr>
                              <m:t>s</m:t>
                            </m:r>
                          </m:e>
                          <m:sub>
                            <m:r>
                              <w:rPr>
                                <w:rFonts w:ascii="Cambria Math" w:hAnsi="Cambria Math"/>
                              </w:rPr>
                              <m:t>c</m:t>
                            </m:r>
                          </m:sub>
                        </m:sSub>
                        <m:r>
                          <w:rPr>
                            <w:rFonts w:ascii="Cambria Math" w:hAnsi="Cambria Math"/>
                          </w:rPr>
                          <m:t>+δ</m:t>
                        </m:r>
                      </m:e>
                    </m:d>
                  </m:den>
                </m:f>
              </m:oMath>
            </m:oMathPara>
          </w:p>
        </w:tc>
        <w:tc>
          <w:tcPr>
            <w:tcW w:w="1587" w:type="dxa"/>
            <w:vAlign w:val="center"/>
          </w:tcPr>
          <w:p w14:paraId="41759A4B" w14:textId="77777777" w:rsidR="00C65BD9" w:rsidRDefault="003C66B1">
            <w:pPr>
              <w:spacing w:before="60" w:after="20"/>
              <w:jc w:val="right"/>
            </w:pPr>
            <w:r>
              <w:t>（</w:t>
            </w:r>
            <w:r>
              <w:t>8</w:t>
            </w:r>
            <w:r>
              <w:t>）</w:t>
            </w:r>
          </w:p>
        </w:tc>
      </w:tr>
    </w:tbl>
    <w:p w14:paraId="2350ED88" w14:textId="77777777" w:rsidR="00C65BD9" w:rsidRDefault="003C66B1">
      <w:pPr>
        <w:spacing w:after="90" w:line="264" w:lineRule="auto"/>
        <w:ind w:firstLine="420"/>
      </w:pPr>
      <w:r>
        <w:t>式（</w:t>
      </w:r>
      <w:r>
        <w:t>8</w:t>
      </w:r>
      <w:r>
        <w:t>）中，</w:t>
      </w:r>
      <m:oMath>
        <m:sSub>
          <m:sSubPr>
            <m:ctrlPr>
              <w:rPr>
                <w:rFonts w:ascii="Cambria Math" w:hAnsi="Cambria Math"/>
              </w:rPr>
            </m:ctrlPr>
          </m:sSubPr>
          <m:e>
            <m:r>
              <w:rPr>
                <w:rFonts w:ascii="Cambria Math" w:hAnsi="Cambria Math"/>
              </w:rPr>
              <m:t>s</m:t>
            </m:r>
          </m:e>
          <m:sub>
            <m:r>
              <w:rPr>
                <w:rFonts w:ascii="Cambria Math" w:hAnsi="Cambria Math"/>
              </w:rPr>
              <m:t>b</m:t>
            </m:r>
          </m:sub>
        </m:sSub>
      </m:oMath>
      <w:r>
        <w:t>为累计敏感度，</w:t>
      </w:r>
      <m:oMath>
        <m:r>
          <w:rPr>
            <w:rFonts w:ascii="Cambria Math" w:hAnsi="Cambria Math"/>
          </w:rPr>
          <m:t>ρ</m:t>
        </m:r>
      </m:oMath>
      <w:r>
        <w:t>为更新权重且</w:t>
      </w:r>
      <m:oMath>
        <m:r>
          <w:rPr>
            <w:rFonts w:ascii="Cambria Math" w:hAnsi="Cambria Math"/>
          </w:rPr>
          <m:t>0&lt;ρ&lt;1</m:t>
        </m:r>
      </m:oMath>
      <w:r>
        <w:t>，</w:t>
      </w:r>
      <m:oMath>
        <m:r>
          <w:rPr>
            <w:rFonts w:ascii="Cambria Math" w:hAnsi="Cambria Math"/>
          </w:rPr>
          <m:t>δ&gt;0</m:t>
        </m:r>
      </m:oMath>
      <w:r>
        <w:t>为正平滑常数，</w:t>
      </w:r>
      <m:oMath>
        <m:r>
          <w:rPr>
            <w:rFonts w:ascii="Cambria Math" w:hAnsi="Cambria Math"/>
          </w:rPr>
          <m:t>c</m:t>
        </m:r>
      </m:oMath>
      <w:r>
        <w:t>为可变参数组求和索引。一种配置取</w:t>
      </w:r>
      <m:oMath>
        <m:r>
          <w:rPr>
            <w:rFonts w:ascii="Cambria Math" w:hAnsi="Cambria Math"/>
          </w:rPr>
          <m:t>ρ=0.2</m:t>
        </m:r>
      </m:oMath>
      <w:r>
        <w:t>、</w:t>
      </w:r>
      <m:oMath>
        <m:r>
          <w:rPr>
            <w:rFonts w:ascii="Cambria Math" w:hAnsi="Cambria Math"/>
          </w:rPr>
          <m:t>δ=0.05</m:t>
        </m:r>
      </m:oMath>
      <w:r>
        <w:t>。本层有多个有效配对时，</w:t>
      </w:r>
      <m:oMath>
        <m:sSub>
          <m:sSubPr>
            <m:ctrlPr>
              <w:rPr>
                <w:rFonts w:ascii="Cambria Math" w:hAnsi="Cambria Math"/>
              </w:rPr>
            </m:ctrlPr>
          </m:sSubPr>
          <m:e>
            <m:r>
              <w:rPr>
                <w:rFonts w:ascii="Cambria Math" w:hAnsi="Cambria Math"/>
              </w:rPr>
              <m:t>d</m:t>
            </m:r>
          </m:e>
          <m:sub>
            <m:r>
              <w:rPr>
                <w:rFonts w:ascii="Cambria Math" w:hAnsi="Cambria Math"/>
              </w:rPr>
              <m:t>b</m:t>
            </m:r>
          </m:sub>
        </m:sSub>
      </m:oMath>
      <w:r>
        <w:t>取这些配对的平均归一化风险差。</w:t>
      </w:r>
      <m:oMath>
        <m:sSub>
          <m:sSubPr>
            <m:ctrlPr>
              <w:rPr>
                <w:rFonts w:ascii="Cambria Math" w:hAnsi="Cambria Math"/>
              </w:rPr>
            </m:ctrlPr>
          </m:sSubPr>
          <m:e>
            <m:r>
              <w:rPr>
                <w:rFonts w:ascii="Cambria Math" w:hAnsi="Cambria Math"/>
              </w:rPr>
              <m:t>q</m:t>
            </m:r>
          </m:e>
          <m:sub>
            <m:r>
              <w:rPr>
                <w:rFonts w:ascii="Cambria Math" w:hAnsi="Cambria Math"/>
              </w:rPr>
              <m:t>b</m:t>
            </m:r>
          </m:sub>
        </m:sSub>
      </m:oMath>
      <w:r>
        <w:t>是下一次局部提议选择组</w:t>
      </w:r>
      <m:oMath>
        <m:r>
          <w:rPr>
            <w:rFonts w:ascii="Cambria Math" w:hAnsi="Cambria Math"/>
          </w:rPr>
          <m:t>b</m:t>
        </m:r>
      </m:oMath>
      <w:r>
        <w:t>的概率，求和只覆盖当前适用的可变组；不适用组及事件固定组不参与抽选。尚无有效配对的适用组保留预设初值，正平滑项使其继续具有被选机会。</w:t>
      </w:r>
    </w:p>
    <w:p w14:paraId="72B52E54" w14:textId="77777777" w:rsidR="00C65BD9" w:rsidRDefault="003C66B1">
      <w:pPr>
        <w:spacing w:after="60" w:line="264" w:lineRule="auto"/>
        <w:ind w:firstLine="420"/>
      </w:pPr>
      <w:r>
        <w:t>联合提议指一次同时改变两个及以上可变参数组，也可按预设分支重抽全部可变背景行为。事件固定条件与被测策略随机实现仍保持一致，来源标识继承父实例。联合提议用于跨组探索，其风险、失效与成本照常记录，但其风险差不进入式（</w:t>
      </w:r>
      <w:r>
        <w:t>7</w:t>
      </w:r>
      <w:r>
        <w:t>），也不计入任何单组的有效配对数。</w:t>
      </w:r>
    </w:p>
    <w:p w14:paraId="2BBF4800" w14:textId="77777777" w:rsidR="00C65BD9" w:rsidRDefault="003C66B1">
      <w:pPr>
        <w:spacing w:after="60" w:line="264" w:lineRule="auto"/>
        <w:ind w:firstLine="420"/>
      </w:pPr>
      <w:r>
        <w:t>对于标准高斯基空间中的连续可变输入，采用预条件</w:t>
      </w:r>
      <w:r>
        <w:t>Crank–Nicolson</w:t>
      </w:r>
      <w:r>
        <w:t>型局部提议，只更新选定车辆与作用时间范围内的基变量。未选中的基变量逐项保留；如使用离散背景意图，则按事件允许的条件分布重采样。</w:t>
      </w:r>
    </w:p>
    <w:tbl>
      <w:tblPr>
        <w:tblW w:w="0" w:type="auto"/>
        <w:tblLayout w:type="fixed"/>
        <w:tblLook w:val="04A0" w:firstRow="1" w:lastRow="0" w:firstColumn="1" w:lastColumn="0" w:noHBand="0" w:noVBand="1"/>
      </w:tblPr>
      <w:tblGrid>
        <w:gridCol w:w="7597"/>
        <w:gridCol w:w="1587"/>
      </w:tblGrid>
      <w:tr w:rsidR="00C65BD9" w14:paraId="30B9BE6C" w14:textId="77777777">
        <w:tc>
          <w:tcPr>
            <w:tcW w:w="7597" w:type="dxa"/>
            <w:vAlign w:val="center"/>
          </w:tcPr>
          <w:p w14:paraId="6439E8A9" w14:textId="77777777" w:rsidR="00C65BD9" w:rsidRDefault="00F555AD">
            <w:pPr>
              <w:spacing w:after="20"/>
              <w:jc w:val="center"/>
            </w:pPr>
            <m:oMathPara>
              <m:oMath>
                <m:sSubSup>
                  <m:sSubSupPr>
                    <m:ctrlPr>
                      <w:rPr>
                        <w:rFonts w:ascii="Cambria Math" w:hAnsi="Cambria Math"/>
                      </w:rPr>
                    </m:ctrlPr>
                  </m:sSubSupPr>
                  <m:e>
                    <m:r>
                      <w:rPr>
                        <w:rFonts w:ascii="Cambria Math" w:hAnsi="Cambria Math"/>
                      </w:rPr>
                      <m:t>ω</m:t>
                    </m:r>
                  </m:e>
                  <m:sub>
                    <m:r>
                      <w:rPr>
                        <w:rFonts w:ascii="Cambria Math" w:hAnsi="Cambria Math"/>
                      </w:rPr>
                      <m:t>b</m:t>
                    </m:r>
                  </m:sub>
                  <m:sup>
                    <m:r>
                      <w:rPr>
                        <w:rFonts w:ascii="Cambria Math" w:hAnsi="Cambria Math"/>
                      </w:rPr>
                      <m:t>'</m:t>
                    </m:r>
                  </m:sup>
                </m:sSubSup>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m:t>
                    </m:r>
                    <m:sSubSup>
                      <m:sSubSupPr>
                        <m:ctrlPr>
                          <w:rPr>
                            <w:rFonts w:ascii="Cambria Math" w:hAnsi="Cambria Math"/>
                          </w:rPr>
                        </m:ctrlPr>
                      </m:sSubSupPr>
                      <m:e>
                        <m:r>
                          <w:rPr>
                            <w:rFonts w:ascii="Cambria Math" w:hAnsi="Cambria Math"/>
                          </w:rPr>
                          <m:t>β</m:t>
                        </m:r>
                      </m:e>
                      <m:sub>
                        <m:r>
                          <w:rPr>
                            <w:rFonts w:ascii="Cambria Math" w:hAnsi="Cambria Math"/>
                          </w:rPr>
                          <m:t>b</m:t>
                        </m:r>
                      </m:sub>
                      <m:sup>
                        <m:r>
                          <m:rPr>
                            <m:sty m:val="p"/>
                          </m:rPr>
                          <w:rPr>
                            <w:rFonts w:ascii="Cambria Math" w:hAnsi="Cambria Math"/>
                          </w:rPr>
                          <m:t>2</m:t>
                        </m:r>
                      </m:sup>
                    </m:sSubSup>
                  </m:e>
                </m:rad>
                <m:r>
                  <m:rPr>
                    <m:sty m:val="p"/>
                  </m:rP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b</m:t>
                    </m:r>
                  </m:sub>
                </m:sSub>
                <m:sSub>
                  <m:sSubPr>
                    <m:ctrlPr>
                      <w:rPr>
                        <w:rFonts w:ascii="Cambria Math" w:hAnsi="Cambria Math"/>
                      </w:rPr>
                    </m:ctrlPr>
                  </m:sSubPr>
                  <m:e>
                    <m:r>
                      <w:rPr>
                        <w:rFonts w:ascii="Cambria Math" w:hAnsi="Cambria Math"/>
                      </w:rPr>
                      <m:t>ξ</m:t>
                    </m:r>
                  </m:e>
                  <m:sub>
                    <m:r>
                      <w:rPr>
                        <w:rFonts w:ascii="Cambria Math" w:hAnsi="Cambria Math"/>
                      </w:rPr>
                      <m:t>b</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ξ</m:t>
                    </m:r>
                  </m:e>
                  <m:sub>
                    <m:r>
                      <w:rPr>
                        <w:rFonts w:ascii="Cambria Math" w:hAnsi="Cambria Math"/>
                      </w:rPr>
                      <m:t>b</m:t>
                    </m:r>
                  </m:sub>
                </m:sSub>
                <m:r>
                  <m:rPr>
                    <m:sty m:val="p"/>
                  </m:rPr>
                  <w:rPr>
                    <w:rFonts w:ascii="Cambria Math" w:hAnsi="Cambria Math"/>
                  </w:rPr>
                  <m:t>∼</m:t>
                </m:r>
                <m:r>
                  <m:rPr>
                    <m:scr m:val="script"/>
                  </m:rPr>
                  <w:rPr>
                    <w:rFonts w:ascii="Cambria Math" w:hAnsi="Cambria Math"/>
                  </w:rPr>
                  <m:t>N</m:t>
                </m:r>
                <m:r>
                  <m:rPr>
                    <m:sty m:val="p"/>
                  </m:rPr>
                  <w:rPr>
                    <w:rFonts w:ascii="Cambria Math" w:hAnsi="Cambria Math"/>
                  </w:rPr>
                  <m:t>(0,</m:t>
                </m:r>
                <m:r>
                  <w:rPr>
                    <w:rFonts w:ascii="Cambria Math" w:hAnsi="Cambria Math"/>
                  </w:rPr>
                  <m:t>I</m:t>
                </m:r>
                <m:r>
                  <m:rPr>
                    <m:sty m:val="p"/>
                  </m:rPr>
                  <w:rPr>
                    <w:rFonts w:ascii="Cambria Math" w:hAnsi="Cambria Math"/>
                  </w:rPr>
                  <m:t>), 0&lt;</m:t>
                </m:r>
                <m:sSub>
                  <m:sSubPr>
                    <m:ctrlPr>
                      <w:rPr>
                        <w:rFonts w:ascii="Cambria Math" w:hAnsi="Cambria Math"/>
                      </w:rPr>
                    </m:ctrlPr>
                  </m:sSubPr>
                  <m:e>
                    <m:r>
                      <w:rPr>
                        <w:rFonts w:ascii="Cambria Math" w:hAnsi="Cambria Math"/>
                      </w:rPr>
                      <m:t>β</m:t>
                    </m:r>
                  </m:e>
                  <m:sub>
                    <m:r>
                      <w:rPr>
                        <w:rFonts w:ascii="Cambria Math" w:hAnsi="Cambria Math"/>
                      </w:rPr>
                      <m:t>b</m:t>
                    </m:r>
                  </m:sub>
                </m:sSub>
                <m:r>
                  <m:rPr>
                    <m:sty m:val="p"/>
                  </m:rPr>
                  <w:rPr>
                    <w:rFonts w:ascii="Cambria Math" w:hAnsi="Cambria Math"/>
                  </w:rPr>
                  <m:t>≤1</m:t>
                </m:r>
              </m:oMath>
            </m:oMathPara>
          </w:p>
        </w:tc>
        <w:tc>
          <w:tcPr>
            <w:tcW w:w="1587" w:type="dxa"/>
            <w:vAlign w:val="center"/>
          </w:tcPr>
          <w:p w14:paraId="1C9F923C" w14:textId="77777777" w:rsidR="00C65BD9" w:rsidRDefault="003C66B1">
            <w:pPr>
              <w:spacing w:before="60" w:after="20"/>
              <w:jc w:val="right"/>
            </w:pPr>
            <w:r>
              <w:t>（</w:t>
            </w:r>
            <w:r>
              <w:t>9</w:t>
            </w:r>
            <w:r>
              <w:t>）</w:t>
            </w:r>
          </w:p>
        </w:tc>
      </w:tr>
    </w:tbl>
    <w:p w14:paraId="60CAF8AB" w14:textId="77777777" w:rsidR="00C65BD9" w:rsidRDefault="003C66B1">
      <w:pPr>
        <w:spacing w:after="90" w:line="264" w:lineRule="auto"/>
        <w:ind w:firstLine="420"/>
      </w:pPr>
      <w:r>
        <w:t>式（</w:t>
      </w:r>
      <w:r>
        <w:t>9</w:t>
      </w:r>
      <w:r>
        <w:t>）中，</w:t>
      </w:r>
      <m:oMath>
        <m:sSub>
          <m:sSubPr>
            <m:ctrlPr>
              <w:rPr>
                <w:rFonts w:ascii="Cambria Math" w:hAnsi="Cambria Math"/>
              </w:rPr>
            </m:ctrlPr>
          </m:sSubPr>
          <m:e>
            <m:r>
              <w:rPr>
                <w:rFonts w:ascii="Cambria Math" w:hAnsi="Cambria Math"/>
              </w:rPr>
              <m:t>ω</m:t>
            </m:r>
          </m:e>
          <m:sub>
            <m:r>
              <w:rPr>
                <w:rFonts w:ascii="Cambria Math" w:hAnsi="Cambria Math"/>
              </w:rPr>
              <m:t>b</m:t>
            </m:r>
          </m:sub>
        </m:sSub>
      </m:oMath>
      <w:r>
        <w:t>与</w:t>
      </w:r>
      <m:oMath>
        <m:sSubSup>
          <m:sSubSupPr>
            <m:ctrlPr>
              <w:rPr>
                <w:rFonts w:ascii="Cambria Math" w:hAnsi="Cambria Math"/>
              </w:rPr>
            </m:ctrlPr>
          </m:sSubSupPr>
          <m:e>
            <m:r>
              <w:rPr>
                <w:rFonts w:ascii="Cambria Math" w:hAnsi="Cambria Math"/>
              </w:rPr>
              <m:t>ω</m:t>
            </m:r>
          </m:e>
          <m:sub>
            <m:r>
              <w:rPr>
                <w:rFonts w:ascii="Cambria Math" w:hAnsi="Cambria Math"/>
              </w:rPr>
              <m:t>b</m:t>
            </m:r>
          </m:sub>
          <m:sup>
            <m:r>
              <w:rPr>
                <w:rFonts w:ascii="Cambria Math" w:hAnsi="Cambria Math"/>
              </w:rPr>
              <m:t>'</m:t>
            </m:r>
          </m:sup>
        </m:sSubSup>
      </m:oMath>
      <w:r>
        <w:t>为变更前后的基空间输入，</w:t>
      </w:r>
      <m:oMath>
        <m:sSub>
          <m:sSubPr>
            <m:ctrlPr>
              <w:rPr>
                <w:rFonts w:ascii="Cambria Math" w:hAnsi="Cambria Math"/>
              </w:rPr>
            </m:ctrlPr>
          </m:sSubPr>
          <m:e>
            <m:r>
              <w:rPr>
                <w:rFonts w:ascii="Cambria Math" w:hAnsi="Cambria Math"/>
              </w:rPr>
              <m:t>β</m:t>
            </m:r>
          </m:e>
          <m:sub>
            <m:r>
              <w:rPr>
                <w:rFonts w:ascii="Cambria Math" w:hAnsi="Cambria Math"/>
              </w:rPr>
              <m:t>b</m:t>
            </m:r>
          </m:sub>
        </m:sSub>
      </m:oMath>
      <w:r>
        <w:t>为提议尺度，一种配置取</w:t>
      </w:r>
      <w:r>
        <w:t>0.2</w:t>
      </w:r>
      <w:r>
        <w:t>；</w:t>
      </w:r>
      <m:oMath>
        <m:sSub>
          <m:sSubPr>
            <m:ctrlPr>
              <w:rPr>
                <w:rFonts w:ascii="Cambria Math" w:hAnsi="Cambria Math"/>
              </w:rPr>
            </m:ctrlPr>
          </m:sSubPr>
          <m:e>
            <m:r>
              <w:rPr>
                <w:rFonts w:ascii="Cambria Math" w:hAnsi="Cambria Math"/>
              </w:rPr>
              <m:t>ξ</m:t>
            </m:r>
          </m:e>
          <m:sub>
            <m:r>
              <w:rPr>
                <w:rFonts w:ascii="Cambria Math" w:hAnsi="Cambria Math"/>
              </w:rPr>
              <m:t>b</m:t>
            </m:r>
          </m:sub>
        </m:sSub>
      </m:oMath>
      <w:r>
        <w:t>为同形状标准正态创新，</w:t>
      </w:r>
      <m:oMath>
        <m:r>
          <w:rPr>
            <w:rFonts w:ascii="Cambria Math" w:hAnsi="Cambria Math"/>
          </w:rPr>
          <m:t>I</m:t>
        </m:r>
      </m:oMath>
      <w:r>
        <w:t>为单位协方差矩阵。更新结果经生成映射与范围检查得到驾驶参数。非选中基变量保持不变，但生成映射与车辆交互可以使输出运动产生耦合变化，因此配对一致性在输入层面核对，并以实际执行风险衡量后果。图</w:t>
      </w:r>
      <w:r>
        <w:t>3</w:t>
      </w:r>
      <w:r>
        <w:t>给出比较与更新关系。</w:t>
      </w:r>
    </w:p>
    <w:p w14:paraId="65B2A43E" w14:textId="77777777" w:rsidR="00C65BD9" w:rsidRDefault="003C66B1">
      <w:pPr>
        <w:keepNext/>
        <w:spacing w:before="80" w:after="20"/>
        <w:jc w:val="center"/>
      </w:pPr>
      <w:r>
        <w:rPr>
          <w:noProof/>
        </w:rPr>
        <w:drawing>
          <wp:inline distT="0" distB="0" distL="0" distR="0" wp14:anchorId="313A5EE5" wp14:editId="27573E13">
            <wp:extent cx="5472000" cy="23885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airing.png"/>
                    <pic:cNvPicPr/>
                  </pic:nvPicPr>
                  <pic:blipFill>
                    <a:blip r:embed="rId10"/>
                    <a:stretch>
                      <a:fillRect/>
                    </a:stretch>
                  </pic:blipFill>
                  <pic:spPr>
                    <a:xfrm>
                      <a:off x="0" y="0"/>
                      <a:ext cx="5472000" cy="2388571"/>
                    </a:xfrm>
                    <a:prstGeom prst="rect">
                      <a:avLst/>
                    </a:prstGeom>
                  </pic:spPr>
                </pic:pic>
              </a:graphicData>
            </a:graphic>
          </wp:inline>
        </w:drawing>
      </w:r>
    </w:p>
    <w:p w14:paraId="1153BC7D" w14:textId="77777777" w:rsidR="00C65BD9" w:rsidRDefault="003C66B1">
      <w:pPr>
        <w:spacing w:after="40"/>
        <w:jc w:val="center"/>
      </w:pPr>
      <w:r>
        <w:rPr>
          <w:b/>
        </w:rPr>
        <w:t>图</w:t>
      </w:r>
      <w:r>
        <w:rPr>
          <w:b/>
        </w:rPr>
        <w:t xml:space="preserve">3  </w:t>
      </w:r>
      <w:r>
        <w:rPr>
          <w:b/>
        </w:rPr>
        <w:t>单块配对比较与后续提议</w:t>
      </w:r>
    </w:p>
    <w:p w14:paraId="5472B258" w14:textId="77777777" w:rsidR="00C65BD9" w:rsidRDefault="003C66B1">
      <w:pPr>
        <w:spacing w:after="100" w:line="264" w:lineRule="auto"/>
      </w:pPr>
      <w:r>
        <w:lastRenderedPageBreak/>
        <w:t>两条配对执行共享事件、被测策略、环境参数、其余输入及策略随机实现，单组风险差用于更新敏感度与组选择概率。联合提议继承来源并计入搜索名额，其结果不进入单组归因。为补足比较而另外安排的纯诊断执行按第</w:t>
      </w:r>
      <w:r>
        <w:t>5.7</w:t>
      </w:r>
      <w:r>
        <w:t>节单独计费。</w:t>
      </w:r>
    </w:p>
    <w:p w14:paraId="4F30B6E1" w14:textId="77777777" w:rsidR="00C65BD9" w:rsidRDefault="003C66B1">
      <w:pPr>
        <w:pStyle w:val="21"/>
        <w:spacing w:before="100" w:after="50"/>
      </w:pPr>
      <w:r>
        <w:t xml:space="preserve">5.6 </w:t>
      </w:r>
      <w:r>
        <w:t>失效域连通性判定与风险分层</w:t>
      </w:r>
    </w:p>
    <w:p w14:paraId="1AE4B892" w14:textId="77777777" w:rsidR="00C65BD9" w:rsidRDefault="003C66B1">
      <w:pPr>
        <w:spacing w:after="60" w:line="264" w:lineRule="auto"/>
        <w:ind w:firstLine="420"/>
      </w:pPr>
      <w:r>
        <w:t>风险大小与车辆相对位置描述不能直接确定两个失效实例是否由同一失效过程产生。本方法对已执行且失效的实例建立经验连通图：在相同事件、被测策略、环境配置和外部随机实现下，重新执行两个行为输入的中点，中点得分不低于两端较小者时建立连通边，再按图的连通分量确定失效域。该判据核对的是已采样中点，不将单次通过解释为整条连续路径均已验证。</w:t>
      </w:r>
    </w:p>
    <w:tbl>
      <w:tblPr>
        <w:tblW w:w="0" w:type="auto"/>
        <w:tblLayout w:type="fixed"/>
        <w:tblLook w:val="04A0" w:firstRow="1" w:lastRow="0" w:firstColumn="1" w:lastColumn="0" w:noHBand="0" w:noVBand="1"/>
      </w:tblPr>
      <w:tblGrid>
        <w:gridCol w:w="7597"/>
        <w:gridCol w:w="1587"/>
      </w:tblGrid>
      <w:tr w:rsidR="00C65BD9" w14:paraId="3891E1D3" w14:textId="77777777">
        <w:tc>
          <w:tcPr>
            <w:tcW w:w="7597" w:type="dxa"/>
            <w:vAlign w:val="center"/>
          </w:tcPr>
          <w:p w14:paraId="538982EB" w14:textId="77777777" w:rsidR="00C65BD9" w:rsidRDefault="003C66B1">
            <w:pPr>
              <w:spacing w:after="20"/>
              <w:jc w:val="center"/>
            </w:pPr>
            <m:oMathPara>
              <m:oMath>
                <m:r>
                  <w:rPr>
                    <w:rFonts w:ascii="Cambria Math" w:hAnsi="Cambria Math"/>
                  </w:rPr>
                  <m:t>E=</m:t>
                </m:r>
                <m:d>
                  <m:dPr>
                    <m:begChr m:val="{"/>
                    <m:endChr m:val="}"/>
                    <m:ctrlPr>
                      <w:rPr>
                        <w:rFonts w:ascii="Cambria Math" w:hAnsi="Cambria Math"/>
                      </w:rPr>
                    </m:ctrlPr>
                  </m:dPr>
                  <m:e>
                    <m:r>
                      <w:rPr>
                        <w:rFonts w:ascii="Cambria Math" w:hAnsi="Cambria Math"/>
                      </w:rPr>
                      <m:t>(i,j)∣</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r>
                      <w:rPr>
                        <w:rFonts w:ascii="Cambria Math" w:hAnsi="Cambria Math"/>
                      </w:rPr>
                      <m:t>=1, Z</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j</m:t>
                                </m:r>
                              </m:sub>
                            </m:sSub>
                          </m:num>
                          <m:den>
                            <m:r>
                              <w:rPr>
                                <w:rFonts w:ascii="Cambria Math" w:hAnsi="Cambria Math"/>
                              </w:rPr>
                              <m:t>2</m:t>
                            </m:r>
                          </m:den>
                        </m:f>
                      </m:e>
                    </m:d>
                    <m:r>
                      <w:rPr>
                        <w:rFonts w:ascii="Cambria Math" w:hAnsi="Cambria Math"/>
                      </w:rPr>
                      <m:t>≥</m:t>
                    </m:r>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e>
                </m:d>
              </m:oMath>
            </m:oMathPara>
          </w:p>
        </w:tc>
        <w:tc>
          <w:tcPr>
            <w:tcW w:w="1587" w:type="dxa"/>
            <w:vAlign w:val="center"/>
          </w:tcPr>
          <w:p w14:paraId="5D704EF4" w14:textId="77777777" w:rsidR="00C65BD9" w:rsidRDefault="003C66B1">
            <w:pPr>
              <w:spacing w:before="60" w:after="20"/>
              <w:jc w:val="right"/>
            </w:pPr>
            <w:r>
              <w:t>（</w:t>
            </w:r>
            <w:r>
              <w:t>10</w:t>
            </w:r>
            <w:r>
              <w:t>）</w:t>
            </w:r>
          </w:p>
        </w:tc>
      </w:tr>
    </w:tbl>
    <w:p w14:paraId="4F9126CE" w14:textId="77777777" w:rsidR="00C65BD9" w:rsidRDefault="003C66B1">
      <w:pPr>
        <w:spacing w:after="90" w:line="264" w:lineRule="auto"/>
        <w:ind w:firstLine="420"/>
      </w:pPr>
      <w:r>
        <w:t>式（</w:t>
      </w:r>
      <w:r>
        <w:t>10</w:t>
      </w:r>
      <w:r>
        <w:t>）中，</w:t>
      </w:r>
      <m:oMath>
        <m:sSub>
          <m:sSubPr>
            <m:ctrlPr>
              <w:rPr>
                <w:rFonts w:ascii="Cambria Math" w:hAnsi="Cambria Math"/>
              </w:rPr>
            </m:ctrlPr>
          </m:sSubPr>
          <m:e>
            <m:r>
              <w:rPr>
                <w:rFonts w:ascii="Cambria Math" w:hAnsi="Cambria Math"/>
              </w:rPr>
              <m:t>ω</m:t>
            </m:r>
          </m:e>
          <m:sub>
            <m:r>
              <w:rPr>
                <w:rFonts w:ascii="Cambria Math" w:hAnsi="Cambria Math"/>
              </w:rPr>
              <m:t>i</m:t>
            </m:r>
          </m:sub>
        </m:sSub>
      </m:oMath>
      <w:r>
        <w:t>与</w:t>
      </w:r>
      <m:oMath>
        <m:sSub>
          <m:sSubPr>
            <m:ctrlPr>
              <w:rPr>
                <w:rFonts w:ascii="Cambria Math" w:hAnsi="Cambria Math"/>
              </w:rPr>
            </m:ctrlPr>
          </m:sSubPr>
          <m:e>
            <m:r>
              <w:rPr>
                <w:rFonts w:ascii="Cambria Math" w:hAnsi="Cambria Math"/>
              </w:rPr>
              <m:t>ω</m:t>
            </m:r>
          </m:e>
          <m:sub>
            <m:r>
              <w:rPr>
                <w:rFonts w:ascii="Cambria Math" w:hAnsi="Cambria Math"/>
              </w:rPr>
              <m:t>j</m:t>
            </m:r>
          </m:sub>
        </m:sSub>
      </m:oMath>
      <w:r>
        <w:t>为同一事件下两个有效失效实例的可变行为输入，</w:t>
      </w:r>
      <m:oMath>
        <m:r>
          <w:rPr>
            <w:rFonts w:ascii="Cambria Math" w:hAnsi="Cambria Math"/>
          </w:rPr>
          <m:t>Z(·)</m:t>
        </m:r>
      </m:oMath>
      <w:r>
        <w:t>为式（</w:t>
      </w:r>
      <w:r>
        <w:t>11</w:t>
      </w:r>
      <w:r>
        <w:t>）的执行得分，</w:t>
      </w:r>
      <m:oMath>
        <m:sSub>
          <m:sSubPr>
            <m:ctrlPr>
              <w:rPr>
                <w:rFonts w:ascii="Cambria Math" w:hAnsi="Cambria Math"/>
              </w:rPr>
            </m:ctrlPr>
          </m:sSubPr>
          <m:e>
            <m:r>
              <w:rPr>
                <w:rFonts w:ascii="Cambria Math" w:hAnsi="Cambria Math"/>
              </w:rPr>
              <m:t>Z</m:t>
            </m:r>
          </m:e>
          <m:sub>
            <m:r>
              <w:rPr>
                <w:rFonts w:ascii="Cambria Math" w:hAnsi="Cambria Math"/>
              </w:rPr>
              <m:t>i</m:t>
            </m:r>
          </m:sub>
        </m:sSub>
      </m:oMath>
      <w:r>
        <w:t>与</w:t>
      </w:r>
      <m:oMath>
        <m:sSub>
          <m:sSubPr>
            <m:ctrlPr>
              <w:rPr>
                <w:rFonts w:ascii="Cambria Math" w:hAnsi="Cambria Math"/>
              </w:rPr>
            </m:ctrlPr>
          </m:sSubPr>
          <m:e>
            <m:r>
              <w:rPr>
                <w:rFonts w:ascii="Cambria Math" w:hAnsi="Cambria Math"/>
              </w:rPr>
              <m:t>Z</m:t>
            </m:r>
          </m:e>
          <m:sub>
            <m:r>
              <w:rPr>
                <w:rFonts w:ascii="Cambria Math" w:hAnsi="Cambria Math"/>
              </w:rPr>
              <m:t>j</m:t>
            </m:r>
          </m:sub>
        </m:sSub>
      </m:oMath>
      <w:r>
        <w:t>为两端得分，</w:t>
      </w:r>
      <m:oMath>
        <m:r>
          <w:rPr>
            <w:rFonts w:ascii="Cambria Math" w:hAnsi="Cambria Math"/>
          </w:rPr>
          <m:t>E</m:t>
        </m:r>
      </m:oMath>
      <w:r>
        <w:t>为确认的连通边集合。固定条件、被测策略与其随机实现从事件记录恢复，允许变化的背景随机数组作为行为输入的一部分取中点。满足判据时建立边；未满足只说明本次中点未提供该边，节点仍可通过其他已确认边相连。</w:t>
      </w:r>
    </w:p>
    <w:p w14:paraId="0E8A8DCC" w14:textId="77777777" w:rsidR="00C65BD9" w:rsidRDefault="003C66B1">
      <w:pPr>
        <w:spacing w:after="60" w:line="264" w:lineRule="auto"/>
        <w:ind w:firstLine="420"/>
      </w:pPr>
      <w:r>
        <w:t>中点按当前事件的固定形状逐组计算。六类连续可变组使用本轮固定的预设尺度归一化，逐元素取算术中点后反归一化；尺度采用事件库对应元素的标准差，无样本时取</w:t>
      </w:r>
      <w:r>
        <w:t>1</w:t>
      </w:r>
      <w:r>
        <w:t>。场景结构与初始条件直接复用固定值，不取中点；响应数组使用同一事件的完整物理帧索引。输入形状不一致时先从完整记录恢复，不能按较短者截断后比较。中点执行异常或检查预算不足时标记为未知，不把未知当作断开证据。</w:t>
      </w:r>
    </w:p>
    <w:p w14:paraId="746E803B" w14:textId="77777777" w:rsidR="00C65BD9" w:rsidRDefault="003C66B1">
      <w:pPr>
        <w:spacing w:after="60" w:line="264" w:lineRule="auto"/>
        <w:ind w:firstLine="420"/>
      </w:pPr>
      <w:r>
        <w:t>一种确定性实施方式从已失效实例中按来源轮转选取至多</w:t>
      </w:r>
      <w:r>
        <w:t>12</w:t>
      </w:r>
      <w:r>
        <w:t>个代表，同一来源内部按风险降序、实例哈希升序选取，对代表两两检查，最多执行</w:t>
      </w:r>
      <w:r>
        <w:t>66</w:t>
      </w:r>
      <w:r>
        <w:t>次中点仿真；检查计入分支检查预算，一种配置上限为</w:t>
      </w:r>
      <w:r>
        <w:t>500</w:t>
      </w:r>
      <w:r>
        <w:t>次。只用已确认边计算连通分量。涉及未知边的分组暂不确认彼此分离，作为待核验集合调度，不增加已确认失效域覆盖数；待补足必要检查后再确认。其余已失效实例通过与代表的实际中点检查加入相应连通分量。分类器可用于推荐待查代表或为未失效候选设置目标域，其预测不替代成员确认；采用主成分与分类器时，维数、训练种子和验证准确率随记录保存。该确定性方式不依赖随机社区划分。</w:t>
      </w:r>
    </w:p>
    <w:p w14:paraId="4E3A4F51" w14:textId="77777777" w:rsidR="00C65BD9" w:rsidRDefault="003C66B1">
      <w:pPr>
        <w:spacing w:after="60" w:line="264" w:lineRule="auto"/>
        <w:ind w:firstLine="420"/>
      </w:pPr>
      <w:r>
        <w:t>失效域成员必须具有实际失效标签与连通性证据。未失效但达到风险门槛的候选，可以继承父实例的目标域，或由分类器推荐一个已确认目标域，只在剩余名额填充时使用；没有可信目标时记为未指派。该指派不改变失效标签，也不增加已确认域数。后续实例实际失效后，按中点检查更新其成员关系，来源标识继续继承。</w:t>
      </w:r>
    </w:p>
    <w:p w14:paraId="2E01C83E" w14:textId="77777777" w:rsidR="00C65BD9" w:rsidRDefault="003C66B1">
      <w:pPr>
        <w:spacing w:after="60" w:line="264" w:lineRule="auto"/>
        <w:ind w:firstLine="420"/>
      </w:pPr>
      <w:r>
        <w:t>风险分层用于把搜索引向更危险的准入集合。把实际事件风险转换为有界分层得分，并使已发生预定失效的有效实例直接进入最高层，以区分</w:t>
      </w:r>
      <w:r>
        <w:t>“</w:t>
      </w:r>
      <w:r>
        <w:t>风险引导</w:t>
      </w:r>
      <w:r>
        <w:t>”</w:t>
      </w:r>
      <w:r>
        <w:t>与</w:t>
      </w:r>
      <w:r>
        <w:t>“</w:t>
      </w:r>
      <w:r>
        <w:t>失效判定</w:t>
      </w:r>
      <w:r>
        <w:t>”</w:t>
      </w:r>
      <w:r>
        <w:t>；层门槛按目标保留比例取经验分位数，且逐层不减。</w:t>
      </w:r>
    </w:p>
    <w:tbl>
      <w:tblPr>
        <w:tblW w:w="0" w:type="auto"/>
        <w:tblLayout w:type="fixed"/>
        <w:tblLook w:val="04A0" w:firstRow="1" w:lastRow="0" w:firstColumn="1" w:lastColumn="0" w:noHBand="0" w:noVBand="1"/>
      </w:tblPr>
      <w:tblGrid>
        <w:gridCol w:w="7597"/>
        <w:gridCol w:w="1587"/>
      </w:tblGrid>
      <w:tr w:rsidR="00C65BD9" w14:paraId="312DC84B" w14:textId="77777777">
        <w:tc>
          <w:tcPr>
            <w:tcW w:w="7597" w:type="dxa"/>
            <w:vAlign w:val="center"/>
          </w:tcPr>
          <w:p w14:paraId="156BC8FE" w14:textId="77777777" w:rsidR="00C65BD9" w:rsidRDefault="00F555AD">
            <w:pPr>
              <w:spacing w:after="20"/>
              <w:jc w:val="center"/>
            </w:pPr>
            <m:oMathPara>
              <m:oMath>
                <m:sSub>
                  <m:sSubPr>
                    <m:ctrlPr>
                      <w:rPr>
                        <w:rFonts w:ascii="Cambria Math" w:hAnsi="Cambria Math"/>
                      </w:rPr>
                    </m:ctrlPr>
                  </m:sSubPr>
                  <m:e>
                    <m:r>
                      <w:rPr>
                        <w:rFonts w:ascii="Cambria Math" w:hAnsi="Cambria Math"/>
                      </w:rPr>
                      <m:t>Z</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n</m:t>
                        </m:r>
                      </m:sub>
                    </m:sSub>
                  </m:e>
                </m:d>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n</m:t>
                        </m:r>
                      </m:sub>
                    </m:sSub>
                  </m:num>
                  <m:den>
                    <m: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n</m:t>
                        </m:r>
                      </m:sub>
                    </m:sSub>
                  </m:den>
                </m:f>
              </m:oMath>
            </m:oMathPara>
          </w:p>
          <w:p w14:paraId="630A8346" w14:textId="77777777" w:rsidR="00C65BD9" w:rsidRDefault="00F555AD">
            <w:pPr>
              <w:spacing w:after="20"/>
              <w:jc w:val="center"/>
            </w:pPr>
            <m:oMathPara>
              <m:oMath>
                <m:sSub>
                  <m:sSubPr>
                    <m:ctrlPr>
                      <w:rPr>
                        <w:rFonts w:ascii="Cambria Math" w:hAnsi="Cambria Math"/>
                      </w:rPr>
                    </m:ctrlPr>
                  </m:sSubPr>
                  <m:e>
                    <m:r>
                      <w:rPr>
                        <w:rFonts w:ascii="Cambria Math" w:hAnsi="Cambria Math"/>
                      </w:rPr>
                      <m:t>γ</m:t>
                    </m:r>
                  </m:e>
                  <m:sub>
                    <m:r>
                      <w:rPr>
                        <w:rFonts w:ascii="Cambria Math" w:hAnsi="Cambria Math"/>
                      </w:rPr>
                      <m:t>l</m:t>
                    </m:r>
                  </m:sub>
                </m:sSub>
                <m:r>
                  <w:rPr>
                    <w:rFonts w:ascii="Cambria Math" w:hAnsi="Cambria Math"/>
                  </w:rPr>
                  <m:t>=</m:t>
                </m:r>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l-1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0</m:t>
                            </m:r>
                          </m:sub>
                        </m:sSub>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n</m:t>
                                </m:r>
                              </m:sub>
                            </m:sSub>
                          </m:e>
                        </m:d>
                      </m:e>
                    </m:d>
                  </m:e>
                </m:d>
              </m:oMath>
            </m:oMathPara>
          </w:p>
        </w:tc>
        <w:tc>
          <w:tcPr>
            <w:tcW w:w="1587" w:type="dxa"/>
            <w:vAlign w:val="center"/>
          </w:tcPr>
          <w:p w14:paraId="255B0DD1" w14:textId="77777777" w:rsidR="00C65BD9" w:rsidRDefault="003C66B1">
            <w:pPr>
              <w:spacing w:before="60" w:after="20"/>
              <w:jc w:val="right"/>
            </w:pPr>
            <w:r>
              <w:t>（</w:t>
            </w:r>
            <w:r>
              <w:t>11</w:t>
            </w:r>
            <w:r>
              <w:t>）</w:t>
            </w:r>
          </w:p>
        </w:tc>
      </w:tr>
    </w:tbl>
    <w:p w14:paraId="4469B605" w14:textId="77777777" w:rsidR="00C65BD9" w:rsidRDefault="003C66B1">
      <w:pPr>
        <w:spacing w:after="90" w:line="264" w:lineRule="auto"/>
        <w:ind w:firstLine="420"/>
      </w:pPr>
      <w:r>
        <w:lastRenderedPageBreak/>
        <w:t>式（</w:t>
      </w:r>
      <w:r>
        <w:t>11</w:t>
      </w:r>
      <w:r>
        <w:t>）中，</w:t>
      </w:r>
      <m:oMath>
        <m:r>
          <w:rPr>
            <w:rFonts w:ascii="Cambria Math" w:hAnsi="Cambria Math"/>
          </w:rPr>
          <m:t>n</m:t>
        </m:r>
      </m:oMath>
      <w:r>
        <w:t>为本层有效候选索引，</w:t>
      </w:r>
      <m:oMath>
        <m:sSub>
          <m:sSubPr>
            <m:ctrlPr>
              <w:rPr>
                <w:rFonts w:ascii="Cambria Math" w:hAnsi="Cambria Math"/>
              </w:rPr>
            </m:ctrlPr>
          </m:sSubPr>
          <m:e>
            <m:r>
              <w:rPr>
                <w:rFonts w:ascii="Cambria Math" w:hAnsi="Cambria Math"/>
              </w:rPr>
              <m:t>R</m:t>
            </m:r>
          </m:e>
          <m:sub>
            <m:r>
              <w:rPr>
                <w:rFonts w:ascii="Cambria Math" w:hAnsi="Cambria Math"/>
              </w:rPr>
              <m:t>n</m:t>
            </m:r>
          </m:sub>
        </m:sSub>
      </m:oMath>
      <w:r>
        <w:t>为事件风险，</w:t>
      </w:r>
      <m:oMath>
        <m:sSub>
          <m:sSubPr>
            <m:ctrlPr>
              <w:rPr>
                <w:rFonts w:ascii="Cambria Math" w:hAnsi="Cambria Math"/>
              </w:rPr>
            </m:ctrlPr>
          </m:sSubPr>
          <m:e>
            <m:r>
              <w:rPr>
                <w:rFonts w:ascii="Cambria Math" w:hAnsi="Cambria Math"/>
              </w:rPr>
              <m:t>f</m:t>
            </m:r>
          </m:e>
          <m:sub>
            <m:r>
              <w:rPr>
                <w:rFonts w:ascii="Cambria Math" w:hAnsi="Cambria Math"/>
              </w:rPr>
              <m:t>n</m:t>
            </m:r>
          </m:sub>
        </m:sSub>
      </m:oMath>
      <w:r>
        <w:t>为二值失效标签，</w:t>
      </w:r>
      <m:oMath>
        <m:sSub>
          <m:sSubPr>
            <m:ctrlPr>
              <w:rPr>
                <w:rFonts w:ascii="Cambria Math" w:hAnsi="Cambria Math"/>
              </w:rPr>
            </m:ctrlPr>
          </m:sSubPr>
          <m:e>
            <m:r>
              <w:rPr>
                <w:rFonts w:ascii="Cambria Math" w:hAnsi="Cambria Math"/>
              </w:rPr>
              <m:t>Z</m:t>
            </m:r>
          </m:e>
          <m:sub>
            <m:r>
              <w:rPr>
                <w:rFonts w:ascii="Cambria Math" w:hAnsi="Cambria Math"/>
              </w:rPr>
              <m:t>n</m:t>
            </m:r>
          </m:sub>
        </m:sSub>
      </m:oMath>
      <w:r>
        <w:t>为分层得分，</w:t>
      </w:r>
      <m:oMath>
        <m:sSub>
          <m:sSubPr>
            <m:ctrlPr>
              <w:rPr>
                <w:rFonts w:ascii="Cambria Math" w:hAnsi="Cambria Math"/>
              </w:rPr>
            </m:ctrlPr>
          </m:sSubPr>
          <m:e>
            <m:r>
              <w:rPr>
                <w:rFonts w:ascii="Cambria Math" w:hAnsi="Cambria Math"/>
              </w:rPr>
              <m:t>Q</m:t>
            </m:r>
          </m:e>
          <m:sub>
            <m:r>
              <m:rPr>
                <m:sty m:val="p"/>
              </m:rPr>
              <w:rPr>
                <w:rFonts w:ascii="Cambria Math" w:hAnsi="Cambria Math"/>
              </w:rPr>
              <m:t>1-</m:t>
            </m:r>
            <m:sSub>
              <m:sSubPr>
                <m:ctrlPr>
                  <w:rPr>
                    <w:rFonts w:ascii="Cambria Math" w:hAnsi="Cambria Math"/>
                  </w:rPr>
                </m:ctrlPr>
              </m:sSubPr>
              <m:e>
                <m:r>
                  <w:rPr>
                    <w:rFonts w:ascii="Cambria Math" w:hAnsi="Cambria Math"/>
                  </w:rPr>
                  <m:t>p</m:t>
                </m:r>
              </m:e>
              <m:sub>
                <m:r>
                  <m:rPr>
                    <m:sty m:val="p"/>
                  </m:rPr>
                  <w:rPr>
                    <w:rFonts w:ascii="Cambria Math" w:hAnsi="Cambria Math"/>
                  </w:rPr>
                  <m:t>0</m:t>
                </m:r>
              </m:sub>
            </m:sSub>
          </m:sub>
        </m:sSub>
      </m:oMath>
      <w:r>
        <w:t>为经验分位数，</w:t>
      </w:r>
      <m:oMath>
        <m:sSub>
          <m:sSubPr>
            <m:ctrlPr>
              <w:rPr>
                <w:rFonts w:ascii="Cambria Math" w:hAnsi="Cambria Math"/>
              </w:rPr>
            </m:ctrlPr>
          </m:sSubPr>
          <m:e>
            <m:r>
              <w:rPr>
                <w:rFonts w:ascii="Cambria Math" w:hAnsi="Cambria Math"/>
              </w:rPr>
              <m:t>p</m:t>
            </m:r>
          </m:e>
          <m:sub>
            <m:r>
              <m:rPr>
                <m:sty m:val="p"/>
              </m:rPr>
              <w:rPr>
                <w:rFonts w:ascii="Cambria Math" w:hAnsi="Cambria Math"/>
              </w:rPr>
              <m:t>0</m:t>
            </m:r>
          </m:sub>
        </m:sSub>
      </m:oMath>
      <w:r>
        <w:t>为目标保留比例（一种配置取</w:t>
      </w:r>
      <m:oMath>
        <m:r>
          <m:rPr>
            <m:sty m:val="p"/>
          </m:rPr>
          <w:rPr>
            <w:rFonts w:ascii="Cambria Math" w:hAnsi="Cambria Math"/>
          </w:rPr>
          <m:t>0.1</m:t>
        </m:r>
      </m:oMath>
      <w:r>
        <w:t>或</w:t>
      </w:r>
      <m:oMath>
        <m:r>
          <m:rPr>
            <m:sty m:val="p"/>
          </m:rPr>
          <w:rPr>
            <w:rFonts w:ascii="Cambria Math" w:hAnsi="Cambria Math"/>
          </w:rPr>
          <m:t>0.25</m:t>
        </m:r>
      </m:oMath>
      <w:r>
        <w:t>）。初始门槛取</w:t>
      </w:r>
      <w:r>
        <w:t>0</w:t>
      </w:r>
      <w:r>
        <w:t>。只有满足事件约束、执行有效且得分不低于</w:t>
      </w:r>
      <m:oMath>
        <m:sSub>
          <m:sSubPr>
            <m:ctrlPr>
              <w:rPr>
                <w:rFonts w:ascii="Cambria Math" w:hAnsi="Cambria Math"/>
              </w:rPr>
            </m:ctrlPr>
          </m:sSubPr>
          <m:e>
            <m:r>
              <w:rPr>
                <w:rFonts w:ascii="Cambria Math" w:hAnsi="Cambria Math"/>
              </w:rPr>
              <m:t>γ</m:t>
            </m:r>
          </m:e>
          <m:sub>
            <m:r>
              <m:rPr>
                <m:scr m:val="script"/>
              </m:rPr>
              <w:rPr>
                <w:rFonts w:ascii="Cambria Math" w:hAnsi="Cambria Math"/>
              </w:rPr>
              <m:t>l</m:t>
            </m:r>
          </m:sub>
        </m:sSub>
      </m:oMath>
      <w:r>
        <w:t>的候选进入准入集合</w:t>
      </w:r>
      <m:oMath>
        <m:sSub>
          <m:sSubPr>
            <m:ctrlPr>
              <w:rPr>
                <w:rFonts w:ascii="Cambria Math" w:hAnsi="Cambria Math"/>
              </w:rPr>
            </m:ctrlPr>
          </m:sSubPr>
          <m:e>
            <m:r>
              <m:rPr>
                <m:scr m:val="script"/>
              </m:rPr>
              <w:rPr>
                <w:rFonts w:ascii="Cambria Math" w:hAnsi="Cambria Math"/>
              </w:rPr>
              <m:t>H</m:t>
            </m:r>
          </m:e>
          <m:sub>
            <m:r>
              <m:rPr>
                <m:scr m:val="script"/>
              </m:rPr>
              <w:rPr>
                <w:rFonts w:ascii="Cambria Math" w:hAnsi="Cambria Math"/>
              </w:rPr>
              <m:t>l</m:t>
            </m:r>
          </m:sub>
        </m:sSub>
      </m:oMath>
      <w:r>
        <w:t>；有效候选不足时按剩余预算补充，而不是降低门槛。</w:t>
      </w:r>
    </w:p>
    <w:p w14:paraId="2678B050" w14:textId="77777777" w:rsidR="00C65BD9" w:rsidRDefault="003C66B1">
      <w:pPr>
        <w:pStyle w:val="21"/>
        <w:spacing w:before="100" w:after="50"/>
      </w:pPr>
      <w:r>
        <w:t xml:space="preserve">5.7 </w:t>
      </w:r>
      <w:r>
        <w:t>失效域代表与来源额度的联合名额分配</w:t>
      </w:r>
    </w:p>
    <w:p w14:paraId="7F10C660" w14:textId="77777777" w:rsidR="00C65BD9" w:rsidRDefault="003C66B1">
      <w:pPr>
        <w:spacing w:after="60" w:line="264" w:lineRule="auto"/>
        <w:ind w:firstLine="420"/>
      </w:pPr>
      <w:r>
        <w:t>对准入候选分配非负整数名额</w:t>
      </w:r>
      <m:oMath>
        <m:sSub>
          <m:sSubPr>
            <m:ctrlPr>
              <w:rPr>
                <w:rFonts w:ascii="Cambria Math" w:hAnsi="Cambria Math"/>
              </w:rPr>
            </m:ctrlPr>
          </m:sSubPr>
          <m:e>
            <m:r>
              <w:rPr>
                <w:rFonts w:ascii="Cambria Math" w:hAnsi="Cambria Math"/>
              </w:rPr>
              <m:t>m</m:t>
            </m:r>
          </m:e>
          <m:sub>
            <m:r>
              <w:rPr>
                <w:rFonts w:ascii="Cambria Math" w:hAnsi="Cambria Math"/>
              </w:rPr>
              <m:t>n</m:t>
            </m:r>
          </m:sub>
        </m:sSub>
      </m:oMath>
      <w:r>
        <w:t>，一个名额对应一次后续搜索执行。分配先尽可能为已确认失效域中的成员保留扩展机会，再在来源剩余额度内填充其他准入候选。对未失效高风险候选，目标域只用于安排探索顺序，不把其当作已确认域成员计算代表覆盖。</w:t>
      </w:r>
    </w:p>
    <w:tbl>
      <w:tblPr>
        <w:tblW w:w="0" w:type="auto"/>
        <w:tblLayout w:type="fixed"/>
        <w:tblLook w:val="04A0" w:firstRow="1" w:lastRow="0" w:firstColumn="1" w:lastColumn="0" w:noHBand="0" w:noVBand="1"/>
      </w:tblPr>
      <w:tblGrid>
        <w:gridCol w:w="7597"/>
        <w:gridCol w:w="1587"/>
      </w:tblGrid>
      <w:tr w:rsidR="00C65BD9" w14:paraId="554E2898" w14:textId="77777777">
        <w:tc>
          <w:tcPr>
            <w:tcW w:w="7597" w:type="dxa"/>
            <w:vAlign w:val="center"/>
          </w:tcPr>
          <w:p w14:paraId="41973E7F" w14:textId="77777777" w:rsidR="00C65BD9" w:rsidRDefault="00F555AD">
            <w:pPr>
              <w:spacing w:after="20"/>
              <w:jc w:val="center"/>
            </w:pPr>
            <m:oMathPara>
              <m:oMath>
                <m:sSub>
                  <m:sSubPr>
                    <m:ctrlPr>
                      <w:rPr>
                        <w:rFonts w:ascii="Cambria Math" w:hAnsi="Cambria Math"/>
                      </w:rPr>
                    </m:ctrlPr>
                  </m:sSubPr>
                  <m:e>
                    <m:r>
                      <m:rPr>
                        <m:sty m:val="p"/>
                      </m:rPr>
                      <w:rPr>
                        <w:rFonts w:ascii="Cambria Math" w:hAnsi="Cambria Math"/>
                      </w:rPr>
                      <m:t>max</m:t>
                    </m:r>
                  </m:e>
                  <m:sub>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n</m:t>
                            </m:r>
                          </m:sub>
                        </m:sSub>
                      </m:e>
                    </m:d>
                  </m:sub>
                </m:sSub>
                <m:r>
                  <w:rPr>
                    <w:rFonts w:ascii="Cambria Math" w:hAnsi="Cambria Math"/>
                  </w:rPr>
                  <m:t xml:space="preserve">  </m:t>
                </m:r>
                <m:sSub>
                  <m:sSubPr>
                    <m:ctrlPr>
                      <w:rPr>
                        <w:rFonts w:ascii="Cambria Math" w:hAnsi="Cambria Math"/>
                      </w:rPr>
                    </m:ctrlPr>
                  </m:sSubPr>
                  <m:e>
                    <m:r>
                      <w:rPr>
                        <w:rFonts w:ascii="Cambria Math" w:hAnsi="Cambria Math"/>
                      </w:rPr>
                      <m:t>∑</m:t>
                    </m:r>
                  </m:e>
                  <m:sub>
                    <m:r>
                      <w:rPr>
                        <w:rFonts w:ascii="Cambria Math" w:hAnsi="Cambria Math"/>
                      </w:rPr>
                      <m:t>g∈</m:t>
                    </m:r>
                    <m:sSub>
                      <m:sSubPr>
                        <m:ctrlPr>
                          <w:rPr>
                            <w:rFonts w:ascii="Cambria Math" w:hAnsi="Cambria Math"/>
                          </w:rPr>
                        </m:ctrlPr>
                      </m:sSubPr>
                      <m:e>
                        <m:r>
                          <w:rPr>
                            <w:rFonts w:ascii="Cambria Math" w:hAnsi="Cambria Math"/>
                          </w:rPr>
                          <m:t>G</m:t>
                        </m:r>
                      </m:e>
                      <m:sub>
                        <m:r>
                          <w:rPr>
                            <w:rFonts w:ascii="Cambria Math" w:hAnsi="Cambria Math"/>
                          </w:rPr>
                          <m:t>l</m:t>
                        </m:r>
                      </m:sub>
                    </m:sSub>
                  </m:sub>
                </m:sSub>
                <m: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g</m:t>
                        </m:r>
                      </m:sub>
                    </m:sSub>
                    <m:r>
                      <w:rPr>
                        <w:rFonts w:ascii="Cambria Math" w:hAnsi="Cambria Math"/>
                      </w:rPr>
                      <m:t>&gt;0</m:t>
                    </m:r>
                  </m:e>
                </m:d>
              </m:oMath>
            </m:oMathPara>
          </w:p>
          <w:p w14:paraId="62455E15" w14:textId="77777777" w:rsidR="00C65BD9" w:rsidRDefault="00F555AD">
            <w:pPr>
              <w:spacing w:after="20"/>
              <w:jc w:val="center"/>
            </w:pPr>
            <m:oMathPara>
              <m:oMath>
                <m:sSub>
                  <m:sSubPr>
                    <m:ctrlPr>
                      <w:rPr>
                        <w:rFonts w:ascii="Cambria Math" w:hAnsi="Cambria Math"/>
                      </w:rPr>
                    </m:ctrlPr>
                  </m:sSubPr>
                  <m:e>
                    <m:r>
                      <w:rPr>
                        <w:rFonts w:ascii="Cambria Math" w:hAnsi="Cambria Math"/>
                      </w:rPr>
                      <m:t>M</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n∈</m:t>
                    </m:r>
                    <m:sSubSup>
                      <m:sSubSupPr>
                        <m:ctrlPr>
                          <w:rPr>
                            <w:rFonts w:ascii="Cambria Math" w:hAnsi="Cambria Math"/>
                          </w:rPr>
                        </m:ctrlPr>
                      </m:sSubSupPr>
                      <m:e>
                        <m:r>
                          <w:rPr>
                            <w:rFonts w:ascii="Cambria Math" w:hAnsi="Cambria Math"/>
                          </w:rPr>
                          <m:t>H</m:t>
                        </m:r>
                      </m:e>
                      <m:sub>
                        <m:r>
                          <w:rPr>
                            <w:rFonts w:ascii="Cambria Math" w:hAnsi="Cambria Math"/>
                          </w:rPr>
                          <m:t>l,g</m:t>
                        </m:r>
                      </m:sub>
                      <m:sup>
                        <m:r>
                          <w:rPr>
                            <w:rFonts w:ascii="Cambria Math" w:hAnsi="Cambria Math"/>
                          </w:rPr>
                          <m:t>F</m:t>
                        </m:r>
                      </m:sup>
                    </m:sSubSup>
                  </m:sub>
                </m:sSub>
                <m:sSub>
                  <m:sSubPr>
                    <m:ctrlPr>
                      <w:rPr>
                        <w:rFonts w:ascii="Cambria Math" w:hAnsi="Cambria Math"/>
                      </w:rPr>
                    </m:ctrlPr>
                  </m:sSubPr>
                  <m:e>
                    <m:r>
                      <w:rPr>
                        <w:rFonts w:ascii="Cambria Math" w:hAnsi="Cambria Math"/>
                      </w:rPr>
                      <m:t>m</m:t>
                    </m:r>
                  </m:e>
                  <m:sub>
                    <m:r>
                      <w:rPr>
                        <w:rFonts w:ascii="Cambria Math" w:hAnsi="Cambria Math"/>
                      </w:rPr>
                      <m:t>n</m:t>
                    </m:r>
                  </m:sub>
                </m:sSub>
              </m:oMath>
            </m:oMathPara>
          </w:p>
        </w:tc>
        <w:tc>
          <w:tcPr>
            <w:tcW w:w="1587" w:type="dxa"/>
            <w:vAlign w:val="center"/>
          </w:tcPr>
          <w:p w14:paraId="1A374491" w14:textId="77777777" w:rsidR="00C65BD9" w:rsidRDefault="003C66B1">
            <w:pPr>
              <w:spacing w:before="60" w:after="20"/>
              <w:jc w:val="right"/>
            </w:pPr>
            <w:r>
              <w:t>（</w:t>
            </w:r>
            <w:r>
              <w:t>12</w:t>
            </w:r>
            <w:r>
              <w:t>）</w:t>
            </w:r>
          </w:p>
        </w:tc>
      </w:tr>
    </w:tbl>
    <w:p w14:paraId="327838B8" w14:textId="77777777" w:rsidR="00C65BD9" w:rsidRDefault="003C66B1">
      <w:pPr>
        <w:spacing w:after="90" w:line="264" w:lineRule="auto"/>
        <w:ind w:firstLine="420"/>
      </w:pPr>
      <w:r>
        <w:t>式（</w:t>
      </w:r>
      <w:r>
        <w:t>12</w:t>
      </w:r>
      <w:r>
        <w:t>）中，</w:t>
      </w:r>
      <m:oMath>
        <m:sSub>
          <m:sSubPr>
            <m:ctrlPr>
              <w:rPr>
                <w:rFonts w:ascii="Cambria Math" w:hAnsi="Cambria Math"/>
              </w:rPr>
            </m:ctrlPr>
          </m:sSubPr>
          <m:e>
            <m:r>
              <w:rPr>
                <w:rFonts w:ascii="Cambria Math" w:hAnsi="Cambria Math"/>
              </w:rPr>
              <m:t>G</m:t>
            </m:r>
          </m:e>
          <m:sub>
            <m:r>
              <w:rPr>
                <w:rFonts w:ascii="Cambria Math" w:hAnsi="Cambria Math"/>
              </w:rPr>
              <m:t>l</m:t>
            </m:r>
          </m:sub>
        </m:sSub>
      </m:oMath>
      <w:r>
        <w:t>为本层出现的已确认失效域集合，</w:t>
      </w:r>
      <m:oMath>
        <m:sSubSup>
          <m:sSubSupPr>
            <m:ctrlPr>
              <w:rPr>
                <w:rFonts w:ascii="Cambria Math" w:hAnsi="Cambria Math"/>
              </w:rPr>
            </m:ctrlPr>
          </m:sSubSupPr>
          <m:e>
            <m:r>
              <w:rPr>
                <w:rFonts w:ascii="Cambria Math" w:hAnsi="Cambria Math"/>
              </w:rPr>
              <m:t>H</m:t>
            </m:r>
          </m:e>
          <m:sub>
            <m:r>
              <w:rPr>
                <w:rFonts w:ascii="Cambria Math" w:hAnsi="Cambria Math"/>
              </w:rPr>
              <m:t>l,g</m:t>
            </m:r>
          </m:sub>
          <m:sup>
            <m:r>
              <w:rPr>
                <w:rFonts w:ascii="Cambria Math" w:hAnsi="Cambria Math"/>
              </w:rPr>
              <m:t>F</m:t>
            </m:r>
          </m:sup>
        </m:sSubSup>
      </m:oMath>
      <w:r>
        <w:t>为准入集合</w:t>
      </w:r>
      <m:oMath>
        <m:sSub>
          <m:sSubPr>
            <m:ctrlPr>
              <w:rPr>
                <w:rFonts w:ascii="Cambria Math" w:hAnsi="Cambria Math"/>
              </w:rPr>
            </m:ctrlPr>
          </m:sSubPr>
          <m:e>
            <m:r>
              <w:rPr>
                <w:rFonts w:ascii="Cambria Math" w:hAnsi="Cambria Math"/>
              </w:rPr>
              <m:t>H</m:t>
            </m:r>
          </m:e>
          <m:sub>
            <m:r>
              <w:rPr>
                <w:rFonts w:ascii="Cambria Math" w:hAnsi="Cambria Math"/>
              </w:rPr>
              <m:t>l</m:t>
            </m:r>
          </m:sub>
        </m:sSub>
      </m:oMath>
      <w:r>
        <w:t>中属于域</w:t>
      </w:r>
      <m:oMath>
        <m:r>
          <w:rPr>
            <w:rFonts w:ascii="Cambria Math" w:hAnsi="Cambria Math"/>
          </w:rPr>
          <m:t>g</m:t>
        </m:r>
      </m:oMath>
      <w:r>
        <w:t>的已确认失效成员，</w:t>
      </w:r>
      <m:oMath>
        <m:sSub>
          <m:sSubPr>
            <m:ctrlPr>
              <w:rPr>
                <w:rFonts w:ascii="Cambria Math" w:hAnsi="Cambria Math"/>
              </w:rPr>
            </m:ctrlPr>
          </m:sSubPr>
          <m:e>
            <m:r>
              <w:rPr>
                <w:rFonts w:ascii="Cambria Math" w:hAnsi="Cambria Math"/>
              </w:rPr>
              <m:t>M</m:t>
            </m:r>
          </m:e>
          <m:sub>
            <m:r>
              <w:rPr>
                <w:rFonts w:ascii="Cambria Math" w:hAnsi="Cambria Math"/>
              </w:rPr>
              <m:t>g</m:t>
            </m:r>
          </m:sub>
        </m:sSub>
      </m:oMath>
      <w:r>
        <w:t>为这些成员获得的名额合计。示性函数统计至少有一个已确认成员获得名额的失效域数。未失效候选及待核验分组可以获得剩余填充名额，但不直接增加该目标值。</w:t>
      </w:r>
    </w:p>
    <w:tbl>
      <w:tblPr>
        <w:tblW w:w="0" w:type="auto"/>
        <w:tblLayout w:type="fixed"/>
        <w:tblLook w:val="04A0" w:firstRow="1" w:lastRow="0" w:firstColumn="1" w:lastColumn="0" w:noHBand="0" w:noVBand="1"/>
      </w:tblPr>
      <w:tblGrid>
        <w:gridCol w:w="7597"/>
        <w:gridCol w:w="1587"/>
      </w:tblGrid>
      <w:tr w:rsidR="00C65BD9" w14:paraId="27A2B111" w14:textId="77777777">
        <w:tc>
          <w:tcPr>
            <w:tcW w:w="7597" w:type="dxa"/>
            <w:vAlign w:val="center"/>
          </w:tcPr>
          <w:p w14:paraId="4924BB17" w14:textId="77777777" w:rsidR="00C65BD9" w:rsidRDefault="00F555AD">
            <w:pPr>
              <w:spacing w:after="20"/>
              <w:jc w:val="center"/>
            </w:pPr>
            <m:oMathPara>
              <m:oMath>
                <m:sSub>
                  <m:sSubPr>
                    <m:ctrlPr>
                      <w:rPr>
                        <w:rFonts w:ascii="Cambria Math" w:hAnsi="Cambria Math"/>
                      </w:rPr>
                    </m:ctrlPr>
                  </m:sSubPr>
                  <m:e>
                    <m:r>
                      <w:rPr>
                        <w:rFonts w:ascii="Cambria Math" w:hAnsi="Cambria Math"/>
                      </w:rPr>
                      <m:t>∑</m:t>
                    </m:r>
                  </m:e>
                  <m:sub>
                    <m:r>
                      <w:rPr>
                        <w:rFonts w:ascii="Cambria Math" w:hAnsi="Cambria Math"/>
                      </w:rPr>
                      <m:t>n∈</m:t>
                    </m:r>
                    <m:sSub>
                      <m:sSubPr>
                        <m:ctrlPr>
                          <w:rPr>
                            <w:rFonts w:ascii="Cambria Math" w:hAnsi="Cambria Math"/>
                          </w:rPr>
                        </m:ctrlPr>
                      </m:sSubPr>
                      <m:e>
                        <m:r>
                          <w:rPr>
                            <w:rFonts w:ascii="Cambria Math" w:hAnsi="Cambria Math"/>
                          </w:rPr>
                          <m:t>H</m:t>
                        </m:r>
                      </m:e>
                      <m:sub>
                        <m:r>
                          <w:rPr>
                            <w:rFonts w:ascii="Cambria Math" w:hAnsi="Cambria Math"/>
                          </w:rPr>
                          <m:t>l</m:t>
                        </m:r>
                      </m:sub>
                    </m:sSub>
                  </m:sub>
                </m:sSub>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 xml:space="preserve">=N,   </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m:rPr>
                        <m:scr m:val="double-struck"/>
                      </m:rPr>
                      <w:rPr>
                        <w:rFonts w:ascii="Cambria Math" w:hAnsi="Cambria Math"/>
                      </w:rPr>
                      <m:t>N</m:t>
                    </m:r>
                  </m:e>
                  <m:sub>
                    <m:r>
                      <w:rPr>
                        <w:rFonts w:ascii="Cambria Math" w:hAnsi="Cambria Math"/>
                      </w:rPr>
                      <m:t>0</m:t>
                    </m:r>
                  </m:sub>
                </m:sSub>
              </m:oMath>
            </m:oMathPara>
          </w:p>
          <w:p w14:paraId="212A4FCD" w14:textId="77777777" w:rsidR="00C65BD9" w:rsidRDefault="00F555AD">
            <w:pPr>
              <w:spacing w:after="20"/>
              <w:jc w:val="center"/>
            </w:pPr>
            <m:oMathPara>
              <m:oMath>
                <m:sSub>
                  <m:sSubPr>
                    <m:ctrlPr>
                      <w:rPr>
                        <w:rFonts w:ascii="Cambria Math" w:hAnsi="Cambria Math"/>
                      </w:rPr>
                    </m:ctrlPr>
                  </m:sSubPr>
                  <m:e>
                    <m:r>
                      <w:rPr>
                        <w:rFonts w:ascii="Cambria Math" w:hAnsi="Cambria Math"/>
                      </w:rPr>
                      <m:t>M</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n∈</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=α</m:t>
                    </m:r>
                  </m:sub>
                </m:sSub>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α</m:t>
                    </m:r>
                  </m:sub>
                </m:sSub>
              </m:oMath>
            </m:oMathPara>
          </w:p>
        </w:tc>
        <w:tc>
          <w:tcPr>
            <w:tcW w:w="1587" w:type="dxa"/>
            <w:vAlign w:val="center"/>
          </w:tcPr>
          <w:p w14:paraId="6F443B45" w14:textId="77777777" w:rsidR="00C65BD9" w:rsidRDefault="003C66B1">
            <w:pPr>
              <w:spacing w:before="60" w:after="20"/>
              <w:jc w:val="right"/>
            </w:pPr>
            <w:r>
              <w:t>（</w:t>
            </w:r>
            <w:r>
              <w:t>13</w:t>
            </w:r>
            <w:r>
              <w:t>）</w:t>
            </w:r>
          </w:p>
        </w:tc>
      </w:tr>
    </w:tbl>
    <w:p w14:paraId="276F9B57" w14:textId="77777777" w:rsidR="00C65BD9" w:rsidRDefault="003C66B1">
      <w:pPr>
        <w:spacing w:after="90" w:line="264" w:lineRule="auto"/>
        <w:ind w:firstLine="420"/>
      </w:pPr>
      <w:r>
        <w:t>式（</w:t>
      </w:r>
      <w:r>
        <w:t>13</w:t>
      </w:r>
      <w:r>
        <w:t>）中，</w:t>
      </w:r>
      <m:oMath>
        <m:r>
          <w:rPr>
            <w:rFonts w:ascii="Cambria Math" w:hAnsi="Cambria Math"/>
          </w:rPr>
          <m:t>N</m:t>
        </m:r>
      </m:oMath>
      <w:r>
        <w:t>为本轮实际分配的后续搜索名额总数，</w:t>
      </w:r>
      <m:oMath>
        <m:sSub>
          <m:sSubPr>
            <m:ctrlPr>
              <w:rPr>
                <w:rFonts w:ascii="Cambria Math" w:hAnsi="Cambria Math"/>
              </w:rPr>
            </m:ctrlPr>
          </m:sSubPr>
          <m:e>
            <m:r>
              <w:rPr>
                <w:rFonts w:ascii="Cambria Math" w:hAnsi="Cambria Math"/>
              </w:rPr>
              <m:t>m</m:t>
            </m:r>
          </m:e>
          <m:sub>
            <m:r>
              <w:rPr>
                <w:rFonts w:ascii="Cambria Math" w:hAnsi="Cambria Math"/>
              </w:rPr>
              <m:t>n</m:t>
            </m:r>
          </m:sub>
        </m:sSub>
      </m:oMath>
      <w:r>
        <w:t>为候选</w:t>
      </w:r>
      <m:oMath>
        <m:r>
          <w:rPr>
            <w:rFonts w:ascii="Cambria Math" w:hAnsi="Cambria Math"/>
          </w:rPr>
          <m:t>n</m:t>
        </m:r>
      </m:oMath>
      <w:r>
        <w:t>获得的非负整数名额，</w:t>
      </w:r>
      <m:oMath>
        <m:sSub>
          <m:sSubPr>
            <m:ctrlPr>
              <w:rPr>
                <w:rFonts w:ascii="Cambria Math" w:hAnsi="Cambria Math"/>
              </w:rPr>
            </m:ctrlPr>
          </m:sSubPr>
          <m:e>
            <m:r>
              <w:rPr>
                <w:rFonts w:ascii="Cambria Math" w:hAnsi="Cambria Math"/>
              </w:rPr>
              <m:t>α</m:t>
            </m:r>
          </m:e>
          <m:sub>
            <m:r>
              <w:rPr>
                <w:rFonts w:ascii="Cambria Math" w:hAnsi="Cambria Math"/>
              </w:rPr>
              <m:t>n</m:t>
            </m:r>
          </m:sub>
        </m:sSub>
      </m:oMath>
      <w:r>
        <w:t>为其来源标识；</w:t>
      </w:r>
      <m:oMath>
        <m:sSub>
          <m:sSubPr>
            <m:ctrlPr>
              <w:rPr>
                <w:rFonts w:ascii="Cambria Math" w:hAnsi="Cambria Math"/>
              </w:rPr>
            </m:ctrlPr>
          </m:sSubPr>
          <m:e>
            <m:r>
              <w:rPr>
                <w:rFonts w:ascii="Cambria Math" w:hAnsi="Cambria Math"/>
              </w:rPr>
              <m:t>M</m:t>
            </m:r>
          </m:e>
          <m:sub>
            <m:r>
              <w:rPr>
                <w:rFonts w:ascii="Cambria Math" w:hAnsi="Cambria Math"/>
              </w:rPr>
              <m:t>α</m:t>
            </m:r>
          </m:sub>
        </m:sSub>
      </m:oMath>
      <w:r>
        <w:t>是该来源在本轮全部失效域和目标域中获得的名额合计，</w:t>
      </w:r>
      <m:oMath>
        <m:sSub>
          <m:sSubPr>
            <m:ctrlPr>
              <w:rPr>
                <w:rFonts w:ascii="Cambria Math" w:hAnsi="Cambria Math"/>
              </w:rPr>
            </m:ctrlPr>
          </m:sSubPr>
          <m:e>
            <m:r>
              <w:rPr>
                <w:rFonts w:ascii="Cambria Math" w:hAnsi="Cambria Math"/>
              </w:rPr>
              <m:t>U</m:t>
            </m:r>
          </m:e>
          <m:sub>
            <m:r>
              <w:rPr>
                <w:rFonts w:ascii="Cambria Math" w:hAnsi="Cambria Math"/>
              </w:rPr>
              <m:t>α</m:t>
            </m:r>
          </m:sub>
        </m:sSub>
      </m:oMath>
      <w:r>
        <w:t>为此前已使用的搜索名额，</w:t>
      </w:r>
      <m:oMath>
        <m:sSub>
          <m:sSubPr>
            <m:ctrlPr>
              <w:rPr>
                <w:rFonts w:ascii="Cambria Math" w:hAnsi="Cambria Math"/>
              </w:rPr>
            </m:ctrlPr>
          </m:sSubPr>
          <m:e>
            <m:r>
              <w:rPr>
                <w:rFonts w:ascii="Cambria Math" w:hAnsi="Cambria Math"/>
              </w:rPr>
              <m:t>C</m:t>
            </m:r>
          </m:e>
          <m:sub>
            <m:r>
              <w:rPr>
                <w:rFonts w:ascii="Cambria Math" w:hAnsi="Cambria Math"/>
              </w:rPr>
              <m:t>α</m:t>
            </m:r>
          </m:sub>
        </m:sSub>
      </m:oMath>
      <w:r>
        <w:t>为预设总上限。约束始终对相同来源合并求和，不因候选换域而重置。</w:t>
      </w:r>
    </w:p>
    <w:p w14:paraId="7FA71AFD" w14:textId="77777777" w:rsidR="00C65BD9" w:rsidRDefault="003C66B1">
      <w:pPr>
        <w:spacing w:after="60" w:line="264" w:lineRule="auto"/>
        <w:ind w:firstLine="420"/>
      </w:pPr>
      <w:r>
        <w:t>代表选择采用有总流量限制的二部图。由总名额节点向各已确认失效域连容量为</w:t>
      </w:r>
      <w:r>
        <w:t>1</w:t>
      </w:r>
      <w:r>
        <w:t>的边，仅当该域存在某来源的准入失效成员时，连接该域与该来源，容量为</w:t>
      </w:r>
      <w:r>
        <w:t>1</w:t>
      </w:r>
      <w:r>
        <w:t>；来源到汇点的容量取</w:t>
      </w:r>
      <m:oMath>
        <m:sSub>
          <m:sSubPr>
            <m:ctrlPr>
              <w:rPr>
                <w:rFonts w:ascii="Cambria Math" w:hAnsi="Cambria Math"/>
              </w:rPr>
            </m:ctrlPr>
          </m:sSubPr>
          <m:e>
            <m:r>
              <w:rPr>
                <w:rFonts w:ascii="Cambria Math" w:hAnsi="Cambria Math"/>
              </w:rPr>
              <m:t>C</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α</m:t>
            </m:r>
          </m:sub>
        </m:sSub>
      </m:oMath>
      <w:r>
        <w:t>，源点到总名额节点的容量取</w:t>
      </w:r>
      <m:oMath>
        <m:r>
          <w:rPr>
            <w:rFonts w:ascii="Cambria Math" w:hAnsi="Cambria Math"/>
          </w:rPr>
          <m:t>N</m:t>
        </m:r>
      </m:oMath>
      <w:r>
        <w:t>。计算整数最大流后，每条域与来源的匹配边选取一个实际成员，先给该成员一个名额。总流量限制保证代表数不超过</w:t>
      </w:r>
      <m:oMath>
        <m:r>
          <w:rPr>
            <w:rFonts w:ascii="Cambria Math" w:hAnsi="Cambria Math"/>
          </w:rPr>
          <m:t>N</m:t>
        </m:r>
      </m:oMath>
      <w:r>
        <w:t>，来源容量保证代表分配满足跨域共享上限。随后在剩余额度内填充其余准入候选，优先扩展累计搜索次数较少的域，再按风险降序、实例哈希升序处理并列。同一父实例可以获得多个名额，各名额使用不同的提议创新。图</w:t>
      </w:r>
      <w:r>
        <w:t>4</w:t>
      </w:r>
      <w:r>
        <w:t>说明已用额度为零时的分配关系。</w:t>
      </w:r>
    </w:p>
    <w:p w14:paraId="48C35991" w14:textId="77777777" w:rsidR="00C65BD9" w:rsidRDefault="003C66B1">
      <w:pPr>
        <w:keepNext/>
        <w:spacing w:before="80" w:after="20"/>
        <w:jc w:val="center"/>
      </w:pPr>
      <w:r>
        <w:rPr>
          <w:noProof/>
        </w:rPr>
        <w:lastRenderedPageBreak/>
        <w:drawing>
          <wp:inline distT="0" distB="0" distL="0" distR="0" wp14:anchorId="58F5324C" wp14:editId="51976DD1">
            <wp:extent cx="5472000" cy="24754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allocation.png"/>
                    <pic:cNvPicPr/>
                  </pic:nvPicPr>
                  <pic:blipFill>
                    <a:blip r:embed="rId11"/>
                    <a:stretch>
                      <a:fillRect/>
                    </a:stretch>
                  </pic:blipFill>
                  <pic:spPr>
                    <a:xfrm>
                      <a:off x="0" y="0"/>
                      <a:ext cx="5472000" cy="2475429"/>
                    </a:xfrm>
                    <a:prstGeom prst="rect">
                      <a:avLst/>
                    </a:prstGeom>
                  </pic:spPr>
                </pic:pic>
              </a:graphicData>
            </a:graphic>
          </wp:inline>
        </w:drawing>
      </w:r>
    </w:p>
    <w:p w14:paraId="094FDAAF" w14:textId="77777777" w:rsidR="00C65BD9" w:rsidRDefault="003C66B1">
      <w:pPr>
        <w:keepNext/>
        <w:spacing w:after="40"/>
        <w:jc w:val="center"/>
      </w:pPr>
      <w:r>
        <w:t>图</w:t>
      </w:r>
      <w:r>
        <w:t xml:space="preserve">4  </w:t>
      </w:r>
      <w:r>
        <w:t>已用额度为零时的联合名额分配示意</w:t>
      </w:r>
    </w:p>
    <w:p w14:paraId="5785183B" w14:textId="77777777" w:rsidR="00C65BD9" w:rsidRDefault="003C66B1">
      <w:pPr>
        <w:spacing w:after="100" w:line="264" w:lineRule="auto"/>
      </w:pPr>
      <w:r>
        <w:t>图</w:t>
      </w:r>
      <w:r>
        <w:t>4</w:t>
      </w:r>
      <w:r>
        <w:t>为设计示意，其中来源侧容量</w:t>
      </w:r>
      <w:r>
        <w:t>3</w:t>
      </w:r>
      <w:r>
        <w:t>对应</w:t>
      </w:r>
      <m:oMath>
        <m:sSub>
          <m:sSubPr>
            <m:ctrlPr>
              <w:rPr>
                <w:rFonts w:ascii="Cambria Math" w:hAnsi="Cambria Math"/>
              </w:rPr>
            </m:ctrlPr>
          </m:sSubPr>
          <m:e>
            <m:r>
              <w:rPr>
                <w:rFonts w:ascii="Cambria Math" w:hAnsi="Cambria Math"/>
              </w:rPr>
              <m:t>U</m:t>
            </m:r>
          </m:e>
          <m:sub>
            <m:r>
              <w:rPr>
                <w:rFonts w:ascii="Cambria Math" w:hAnsi="Cambria Math"/>
              </w:rPr>
              <m:t>α</m:t>
            </m:r>
          </m:sub>
        </m:sSub>
        <m:r>
          <w:rPr>
            <w:rFonts w:ascii="Cambria Math" w:hAnsi="Cambria Math"/>
          </w:rPr>
          <m:t>=0</m:t>
        </m:r>
      </m:oMath>
      <w:r>
        <w:t>、</w:t>
      </w:r>
      <m:oMath>
        <m:sSub>
          <m:sSubPr>
            <m:ctrlPr>
              <w:rPr>
                <w:rFonts w:ascii="Cambria Math" w:hAnsi="Cambria Math"/>
              </w:rPr>
            </m:ctrlPr>
          </m:sSubPr>
          <m:e>
            <m:r>
              <w:rPr>
                <w:rFonts w:ascii="Cambria Math" w:hAnsi="Cambria Math"/>
              </w:rPr>
              <m:t>C</m:t>
            </m:r>
          </m:e>
          <m:sub>
            <m:r>
              <w:rPr>
                <w:rFonts w:ascii="Cambria Math" w:hAnsi="Cambria Math"/>
              </w:rPr>
              <m:t>α</m:t>
            </m:r>
          </m:sub>
        </m:sSub>
        <m:r>
          <w:rPr>
            <w:rFonts w:ascii="Cambria Math" w:hAnsi="Cambria Math"/>
          </w:rPr>
          <m:t>=3</m:t>
        </m:r>
      </m:oMath>
      <w:r>
        <w:t>，右侧矩阵为一次</w:t>
      </w:r>
      <m:oMath>
        <m:r>
          <w:rPr>
            <w:rFonts w:ascii="Cambria Math" w:hAnsi="Cambria Math"/>
          </w:rPr>
          <m:t>N=12</m:t>
        </m:r>
      </m:oMath>
      <w:r>
        <w:t>的分配示例，并非实测结果。各行表示已通过连通性确认的失效域，交通行为名称用于帮助识别；各列表示独立来源，列合计为本轮来源名额。后续轮次将图中容量替换为</w:t>
      </w:r>
      <m:oMath>
        <m:sSub>
          <m:sSubPr>
            <m:ctrlPr>
              <w:rPr>
                <w:rFonts w:ascii="Cambria Math" w:hAnsi="Cambria Math"/>
              </w:rPr>
            </m:ctrlPr>
          </m:sSubPr>
          <m:e>
            <m:r>
              <w:rPr>
                <w:rFonts w:ascii="Cambria Math" w:hAnsi="Cambria Math"/>
              </w:rPr>
              <m:t>C</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α</m:t>
            </m:r>
          </m:sub>
        </m:sSub>
      </m:oMath>
      <w:r>
        <w:t>；补充独立抽样是新增来源的可用额度，不增加原来源上限。</w:t>
      </w:r>
    </w:p>
    <w:p w14:paraId="27FF732A" w14:textId="77777777" w:rsidR="00C65BD9" w:rsidRDefault="003C66B1">
      <w:pPr>
        <w:spacing w:after="60" w:line="264" w:lineRule="auto"/>
        <w:ind w:firstLine="420"/>
      </w:pPr>
      <w:r>
        <w:t>来源标识只在完整独立条件抽样时新建，且本事件固定条件始终不变。局部变更、联合提议、保留实例与跨域移动均继承父来源。准入来源的剩余容量不足时，在剩余总预算内补充完整独立条件抽样，新来源初始已用额度为零；补充实例通过同一风险门槛后，才把该新来源剩余额度加入可分配容量。仍不足则缩减实际名额总数</w:t>
      </w:r>
      <m:oMath>
        <m:r>
          <w:rPr>
            <w:rFonts w:ascii="Cambria Math" w:hAnsi="Cambria Math"/>
          </w:rPr>
          <m:t>N</m:t>
        </m:r>
      </m:oMath>
      <w:r>
        <w:t>，不重编号旧来源，也不降低风险门槛。</w:t>
      </w:r>
    </w:p>
    <w:tbl>
      <w:tblPr>
        <w:tblW w:w="0" w:type="auto"/>
        <w:tblLayout w:type="fixed"/>
        <w:tblLook w:val="04A0" w:firstRow="1" w:lastRow="0" w:firstColumn="1" w:lastColumn="0" w:noHBand="0" w:noVBand="1"/>
      </w:tblPr>
      <w:tblGrid>
        <w:gridCol w:w="7597"/>
        <w:gridCol w:w="1587"/>
      </w:tblGrid>
      <w:tr w:rsidR="00C65BD9" w14:paraId="687454BB" w14:textId="77777777">
        <w:tc>
          <w:tcPr>
            <w:tcW w:w="7597" w:type="dxa"/>
            <w:vAlign w:val="center"/>
          </w:tcPr>
          <w:p w14:paraId="0DF1E309" w14:textId="77777777" w:rsidR="00C65BD9" w:rsidRDefault="00F555AD">
            <w:pPr>
              <w:spacing w:after="20"/>
              <w:jc w:val="center"/>
            </w:pPr>
            <m:oMathPara>
              <m:oMath>
                <m:sSub>
                  <m:sSubPr>
                    <m:ctrlPr>
                      <w:rPr>
                        <w:rFonts w:ascii="Cambria Math" w:hAnsi="Cambria Math"/>
                      </w:rPr>
                    </m:ctrlPr>
                  </m:sSubPr>
                  <m:e>
                    <m:r>
                      <w:rPr>
                        <w:rFonts w:ascii="Cambria Math" w:hAnsi="Cambria Math"/>
                      </w:rPr>
                      <m:t>A</m:t>
                    </m:r>
                  </m:e>
                  <m:sub>
                    <m:r>
                      <m:rPr>
                        <m:sty m:val="p"/>
                      </m:rPr>
                      <w:rPr>
                        <w:rFonts w:ascii="Cambria Math" w:hAnsi="Cambria Math"/>
                      </w:rPr>
                      <m:t>eff</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N</m:t>
                        </m:r>
                      </m:e>
                      <m:sup>
                        <m:r>
                          <w:rPr>
                            <w:rFonts w:ascii="Cambria Math" w:hAnsi="Cambria Math"/>
                          </w:rPr>
                          <m:t>2</m:t>
                        </m:r>
                      </m:sup>
                    </m:sSup>
                  </m:num>
                  <m:den>
                    <m:sSub>
                      <m:sSubPr>
                        <m:ctrlPr>
                          <w:rPr>
                            <w:rFonts w:ascii="Cambria Math" w:hAnsi="Cambria Math"/>
                          </w:rPr>
                        </m:ctrlPr>
                      </m:sSubPr>
                      <m:e>
                        <m:r>
                          <w:rPr>
                            <w:rFonts w:ascii="Cambria Math" w:hAnsi="Cambria Math"/>
                          </w:rPr>
                          <m:t>∑</m:t>
                        </m:r>
                      </m:e>
                      <m:sub>
                        <m:r>
                          <w:rPr>
                            <w:rFonts w:ascii="Cambria Math" w:hAnsi="Cambria Math"/>
                          </w:rPr>
                          <m:t>α</m:t>
                        </m:r>
                      </m:sub>
                    </m:sSub>
                    <m:sSubSup>
                      <m:sSubSupPr>
                        <m:ctrlPr>
                          <w:rPr>
                            <w:rFonts w:ascii="Cambria Math" w:hAnsi="Cambria Math"/>
                          </w:rPr>
                        </m:ctrlPr>
                      </m:sSubSupPr>
                      <m:e>
                        <m:r>
                          <w:rPr>
                            <w:rFonts w:ascii="Cambria Math" w:hAnsi="Cambria Math"/>
                          </w:rPr>
                          <m:t>M</m:t>
                        </m:r>
                      </m:e>
                      <m:sub>
                        <m:r>
                          <w:rPr>
                            <w:rFonts w:ascii="Cambria Math" w:hAnsi="Cambria Math"/>
                          </w:rPr>
                          <m:t>α</m:t>
                        </m:r>
                      </m:sub>
                      <m:sup>
                        <m:r>
                          <w:rPr>
                            <w:rFonts w:ascii="Cambria Math" w:hAnsi="Cambria Math"/>
                          </w:rPr>
                          <m:t>2</m:t>
                        </m:r>
                      </m:sup>
                    </m:sSubSup>
                  </m:den>
                </m:f>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C</m:t>
                    </m:r>
                  </m:den>
                </m:f>
                <m:r>
                  <w:rPr>
                    <w:rFonts w:ascii="Cambria Math" w:hAnsi="Cambria Math"/>
                  </w:rPr>
                  <m:t>,   N&gt;0</m:t>
                </m:r>
              </m:oMath>
            </m:oMathPara>
          </w:p>
        </w:tc>
        <w:tc>
          <w:tcPr>
            <w:tcW w:w="1587" w:type="dxa"/>
            <w:vAlign w:val="center"/>
          </w:tcPr>
          <w:p w14:paraId="139F7C68" w14:textId="77777777" w:rsidR="00C65BD9" w:rsidRDefault="003C66B1">
            <w:pPr>
              <w:spacing w:before="60" w:after="20"/>
              <w:jc w:val="right"/>
            </w:pPr>
            <w:r>
              <w:t>（</w:t>
            </w:r>
            <w:r>
              <w:t>14</w:t>
            </w:r>
            <w:r>
              <w:t>）</w:t>
            </w:r>
          </w:p>
        </w:tc>
      </w:tr>
    </w:tbl>
    <w:p w14:paraId="51E3778E" w14:textId="77777777" w:rsidR="00C65BD9" w:rsidRDefault="003C66B1">
      <w:pPr>
        <w:spacing w:after="90" w:line="264" w:lineRule="auto"/>
        <w:ind w:firstLine="420"/>
      </w:pPr>
      <w:r>
        <w:t>式（</w:t>
      </w:r>
      <w:r>
        <w:t>14</w:t>
      </w:r>
      <w:r>
        <w:t>）中，</w:t>
      </w:r>
      <m:oMath>
        <m:sSub>
          <m:sSubPr>
            <m:ctrlPr>
              <w:rPr>
                <w:rFonts w:ascii="Cambria Math" w:hAnsi="Cambria Math"/>
              </w:rPr>
            </m:ctrlPr>
          </m:sSubPr>
          <m:e>
            <m:r>
              <w:rPr>
                <w:rFonts w:ascii="Cambria Math" w:hAnsi="Cambria Math"/>
              </w:rPr>
              <m:t>A</m:t>
            </m:r>
          </m:e>
          <m:sub>
            <m:r>
              <m:rPr>
                <m:sty m:val="p"/>
              </m:rPr>
              <w:rPr>
                <w:rFonts w:ascii="Cambria Math" w:hAnsi="Cambria Math"/>
              </w:rPr>
              <m:t>eff</m:t>
            </m:r>
          </m:sub>
        </m:sSub>
      </m:oMath>
      <w:r>
        <w:t>为按本轮名额占比计算的有效来源数，</w:t>
      </w:r>
      <m:oMath>
        <m:r>
          <w:rPr>
            <w:rFonts w:ascii="Cambria Math" w:hAnsi="Cambria Math"/>
          </w:rPr>
          <m:t>C=</m:t>
        </m:r>
        <m:sSub>
          <m:sSubPr>
            <m:ctrlPr>
              <w:rPr>
                <w:rFonts w:ascii="Cambria Math" w:hAnsi="Cambria Math"/>
              </w:rPr>
            </m:ctrlPr>
          </m:sSubPr>
          <m:e>
            <m:r>
              <m:rPr>
                <m:sty m:val="p"/>
              </m:rPr>
              <w:rPr>
                <w:rFonts w:ascii="Cambria Math" w:hAnsi="Cambria Math"/>
              </w:rPr>
              <m:t>max</m:t>
            </m:r>
          </m:e>
          <m:sub>
            <m:r>
              <w:rPr>
                <w:rFonts w:ascii="Cambria Math" w:hAnsi="Cambria Math"/>
              </w:rPr>
              <m:t>α</m:t>
            </m:r>
          </m:sub>
        </m:sSub>
        <m:sSub>
          <m:sSubPr>
            <m:ctrlPr>
              <w:rPr>
                <w:rFonts w:ascii="Cambria Math" w:hAnsi="Cambria Math"/>
              </w:rPr>
            </m:ctrlPr>
          </m:sSubPr>
          <m:e>
            <m:r>
              <w:rPr>
                <w:rFonts w:ascii="Cambria Math" w:hAnsi="Cambria Math"/>
              </w:rPr>
              <m:t>C</m:t>
            </m:r>
          </m:e>
          <m:sub>
            <m:r>
              <w:rPr>
                <w:rFonts w:ascii="Cambria Math" w:hAnsi="Cambria Math"/>
              </w:rPr>
              <m:t>α</m:t>
            </m:r>
          </m:sub>
        </m:sSub>
      </m:oMath>
      <w:r>
        <w:t>，且要求</w:t>
      </w:r>
      <m:oMath>
        <m:r>
          <w:rPr>
            <w:rFonts w:ascii="Cambria Math" w:hAnsi="Cambria Math"/>
          </w:rPr>
          <m:t>N&gt;0</m:t>
        </m:r>
      </m:oMath>
      <w:r>
        <w:t>。由于</w:t>
      </w:r>
      <m:oMath>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α</m:t>
            </m:r>
          </m:sub>
        </m:sSub>
        <m:r>
          <w:rPr>
            <w:rFonts w:ascii="Cambria Math" w:hAnsi="Cambria Math"/>
          </w:rPr>
          <m:t>≤C</m:t>
        </m:r>
      </m:oMath>
      <w:r>
        <w:t>、</w:t>
      </w:r>
      <m:oMath>
        <m:sSub>
          <m:sSubPr>
            <m:ctrlPr>
              <w:rPr>
                <w:rFonts w:ascii="Cambria Math" w:hAnsi="Cambria Math"/>
              </w:rPr>
            </m:ctrlPr>
          </m:sSubPr>
          <m:e>
            <m:r>
              <w:rPr>
                <w:rFonts w:ascii="Cambria Math" w:hAnsi="Cambria Math"/>
              </w:rPr>
              <m:t>∑</m:t>
            </m:r>
          </m:e>
          <m:sub>
            <m:r>
              <w:rPr>
                <w:rFonts w:ascii="Cambria Math" w:hAnsi="Cambria Math"/>
              </w:rPr>
              <m:t>α</m:t>
            </m:r>
          </m:sub>
        </m:sSub>
        <m:sSub>
          <m:sSubPr>
            <m:ctrlPr>
              <w:rPr>
                <w:rFonts w:ascii="Cambria Math" w:hAnsi="Cambria Math"/>
              </w:rPr>
            </m:ctrlPr>
          </m:sSubPr>
          <m:e>
            <m:r>
              <w:rPr>
                <w:rFonts w:ascii="Cambria Math" w:hAnsi="Cambria Math"/>
              </w:rPr>
              <m:t>M</m:t>
            </m:r>
          </m:e>
          <m:sub>
            <m:r>
              <w:rPr>
                <w:rFonts w:ascii="Cambria Math" w:hAnsi="Cambria Math"/>
              </w:rPr>
              <m:t>α</m:t>
            </m:r>
          </m:sub>
        </m:sSub>
        <m:r>
          <w:rPr>
            <w:rFonts w:ascii="Cambria Math" w:hAnsi="Cambria Math"/>
          </w:rPr>
          <m:t>=N</m:t>
        </m:r>
      </m:oMath>
      <w:r>
        <w:t>，有</w:t>
      </w:r>
      <m:oMath>
        <m:sSubSup>
          <m:sSubSupPr>
            <m:ctrlPr>
              <w:rPr>
                <w:rFonts w:ascii="Cambria Math" w:hAnsi="Cambria Math"/>
              </w:rPr>
            </m:ctrlPr>
          </m:sSubSupPr>
          <m:e>
            <m:r>
              <w:rPr>
                <w:rFonts w:ascii="Cambria Math" w:hAnsi="Cambria Math"/>
              </w:rPr>
              <m:t>M</m:t>
            </m:r>
          </m:e>
          <m:sub>
            <m:r>
              <w:rPr>
                <w:rFonts w:ascii="Cambria Math" w:hAnsi="Cambria Math"/>
              </w:rPr>
              <m:t>α</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CM</m:t>
            </m:r>
          </m:e>
          <m:sub>
            <m:r>
              <w:rPr>
                <w:rFonts w:ascii="Cambria Math" w:hAnsi="Cambria Math"/>
              </w:rPr>
              <m:t>α</m:t>
            </m:r>
          </m:sub>
        </m:sSub>
      </m:oMath>
      <w:r>
        <w:t>，从而得到所列下界。该式是名额分配的数量性质，失效域覆盖按式（</w:t>
      </w:r>
      <w:r>
        <w:t>12</w:t>
      </w:r>
      <w:r>
        <w:t>）另行计算；</w:t>
      </w:r>
      <m:oMath>
        <m:r>
          <w:rPr>
            <w:rFonts w:ascii="Cambria Math" w:hAnsi="Cambria Math"/>
          </w:rPr>
          <m:t>N=0</m:t>
        </m:r>
      </m:oMath>
      <w:r>
        <w:t>时终止本轮，不计算该比值。</w:t>
      </w:r>
    </w:p>
    <w:p w14:paraId="1E6E5276" w14:textId="77777777" w:rsidR="00C65BD9" w:rsidRDefault="003C66B1">
      <w:pPr>
        <w:spacing w:after="60" w:line="264" w:lineRule="auto"/>
        <w:ind w:firstLine="420"/>
      </w:pPr>
      <w:r>
        <w:t>按名额生成局部或联合提议并实际调用仿真。执行开始即占用该来源一个搜索名额；接纳、拒绝与执行异常均不退回该名额，成本按实际调用记入总预算。执行结束更新风险、有效失效记录与域证据。保留已有实例但不重新执行时不消耗名额；若重新执行，则按新的搜索调用计数。</w:t>
      </w:r>
    </w:p>
    <w:p w14:paraId="095E4479" w14:textId="77777777" w:rsidR="00C65BD9" w:rsidRDefault="003C66B1">
      <w:pPr>
        <w:spacing w:after="60" w:line="264" w:lineRule="auto"/>
        <w:ind w:firstLine="420"/>
      </w:pPr>
      <w:r>
        <w:t>执行账本分三类管理。搜索执行是由名额产生的局部提议、联合提议及重新执行的保留实例，每次使</w:t>
      </w:r>
      <m:oMath>
        <m:sSub>
          <m:sSubPr>
            <m:ctrlPr>
              <w:rPr>
                <w:rFonts w:ascii="Cambria Math" w:hAnsi="Cambria Math"/>
              </w:rPr>
            </m:ctrlPr>
          </m:sSubPr>
          <m:e>
            <m:r>
              <w:rPr>
                <w:rFonts w:ascii="Cambria Math" w:hAnsi="Cambria Math"/>
              </w:rPr>
              <m:t>U</m:t>
            </m:r>
          </m:e>
          <m:sub>
            <m:r>
              <w:rPr>
                <w:rFonts w:ascii="Cambria Math" w:hAnsi="Cambria Math"/>
              </w:rPr>
              <m:t>α</m:t>
            </m:r>
          </m:sub>
        </m:sSub>
      </m:oMath>
      <w:r>
        <w:t>加</w:t>
      </w:r>
      <w:r>
        <w:t>1</w:t>
      </w:r>
      <w:r>
        <w:t>。诊断执行包括额外补跑的单组比较臂、中点检查及用于归属核验的执行，计入总预算和相应诊断预算，不消耗搜索名额；诊断结果用于反馈、连通证据与失效保存，不直接加入后续搜索父实例集合。独立抽样执行新建来源并设置</w:t>
      </w:r>
      <m:oMath>
        <m:sSub>
          <m:sSubPr>
            <m:ctrlPr>
              <w:rPr>
                <w:rFonts w:ascii="Cambria Math" w:hAnsi="Cambria Math"/>
              </w:rPr>
            </m:ctrlPr>
          </m:sSubPr>
          <m:e>
            <m:r>
              <w:rPr>
                <w:rFonts w:ascii="Cambria Math" w:hAnsi="Cambria Math"/>
              </w:rPr>
              <m:t>U</m:t>
            </m:r>
          </m:e>
          <m:sub>
            <m:r>
              <w:rPr>
                <w:rFonts w:ascii="Cambria Math" w:hAnsi="Cambria Math"/>
              </w:rPr>
              <m:t>α</m:t>
            </m:r>
          </m:sub>
        </m:sSub>
        <m:r>
          <w:rPr>
            <w:rFonts w:ascii="Cambria Math" w:hAnsi="Cambria Math"/>
          </w:rPr>
          <m:t>=0</m:t>
        </m:r>
      </m:oMath>
      <w:r>
        <w:t>，计入总预算。已有搜索结果可以同时用于有效单组配对，不重复增加其搜索计数；已保存原输入结果的读取不产生新调用。执行用途在调度前确定，不能将搜索执行改记为诊断执行以规避来源上限。</w:t>
      </w:r>
    </w:p>
    <w:p w14:paraId="5E25E79E" w14:textId="77777777" w:rsidR="009F0F61" w:rsidRDefault="00F555AD">
      <w:pPr>
        <w:keepNext/>
        <w:spacing w:after="60" w:line="264" w:lineRule="auto"/>
        <w:ind w:firstLine="480"/>
      </w:pPr>
      <w:r>
        <w:rPr>
          <w:b/>
        </w:rPr>
        <w:lastRenderedPageBreak/>
        <w:t>联合分配与执行步骤</w:t>
      </w:r>
    </w:p>
    <w:p w14:paraId="6F338903" w14:textId="77777777" w:rsidR="009F0F61" w:rsidRDefault="00F555AD">
      <w:pPr>
        <w:spacing w:after="60" w:line="264" w:lineRule="auto"/>
        <w:ind w:firstLine="480"/>
      </w:pPr>
      <w:r>
        <w:t>步骤</w:t>
      </w:r>
      <w:r>
        <w:t>1</w:t>
      </w:r>
      <w:r>
        <w:t>：由有效执行结果计算本层门槛，得到准入集合；整理已确认失效成员、未失效候选的目标域及来源标识。诊断结果不直接作为新的搜索父实例。</w:t>
      </w:r>
    </w:p>
    <w:p w14:paraId="271C3885" w14:textId="77777777" w:rsidR="009F0F61" w:rsidRDefault="00F555AD">
      <w:pPr>
        <w:spacing w:after="60" w:line="264" w:lineRule="auto"/>
        <w:ind w:firstLine="480"/>
      </w:pPr>
      <w:r>
        <w:t>步骤</w:t>
      </w:r>
      <w:r>
        <w:t>2</w:t>
      </w:r>
      <w:r>
        <w:t>：对每个准入来源计算剩余额度</w:t>
      </w:r>
      <m:oMath>
        <m:sSub>
          <m:sSubPr>
            <m:ctrlPr>
              <w:rPr>
                <w:rFonts w:ascii="Cambria Math" w:hAnsi="Cambria Math"/>
              </w:rPr>
            </m:ctrlPr>
          </m:sSubPr>
          <m:e>
            <m:r>
              <w:rPr>
                <w:rFonts w:ascii="Cambria Math" w:hAnsi="Cambria Math"/>
              </w:rPr>
              <m:t>C</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α</m:t>
            </m:r>
          </m:sub>
        </m:sSub>
      </m:oMath>
      <w:r>
        <w:t>，已耗尽的来源不参与本轮扩展。无已确认失效域时跳过代表选择，直接进入剩余填充。</w:t>
      </w:r>
    </w:p>
    <w:p w14:paraId="6B2C8C70" w14:textId="77777777" w:rsidR="009F0F61" w:rsidRDefault="00F555AD">
      <w:pPr>
        <w:spacing w:after="60" w:line="264" w:lineRule="auto"/>
        <w:ind w:firstLine="480"/>
      </w:pPr>
      <w:r>
        <w:t>步骤</w:t>
      </w:r>
      <w:r>
        <w:t>3</w:t>
      </w:r>
      <w:r>
        <w:t>：以计划搜索次数限制总流量，建立第</w:t>
      </w:r>
      <w:r>
        <w:t>5.7</w:t>
      </w:r>
      <w:r>
        <w:t>节二部图并求整数最大流。按累计扩展次数升序、风险降序与实例哈希升序固定候选及边的处理次序，为每个匹配域选取实际失效成员并分配一个名额。</w:t>
      </w:r>
    </w:p>
    <w:p w14:paraId="27148C2A" w14:textId="77777777" w:rsidR="009F0F61" w:rsidRDefault="00F555AD">
      <w:pPr>
        <w:spacing w:after="60" w:line="264" w:lineRule="auto"/>
        <w:ind w:firstLine="480"/>
      </w:pPr>
      <w:r>
        <w:t>步骤</w:t>
      </w:r>
      <w:r>
        <w:t>4</w:t>
      </w:r>
      <w:r>
        <w:t>：逐个填充剩余名额。每次选择尚有来源余额的准入候选，优先累计扩展较少的域，再按风险及实例哈希处理并列；来源余额随计划名额减少。</w:t>
      </w:r>
    </w:p>
    <w:p w14:paraId="5A51FB40" w14:textId="77777777" w:rsidR="009F0F61" w:rsidRDefault="00F555AD">
      <w:pPr>
        <w:spacing w:after="60" w:line="264" w:lineRule="auto"/>
        <w:ind w:firstLine="480"/>
      </w:pPr>
      <w:r>
        <w:t>步骤</w:t>
      </w:r>
      <w:r>
        <w:t>5</w:t>
      </w:r>
      <w:r>
        <w:t>：容量不足且仍有独立抽样预算时，保持同一事件固定条件，完整独立抽样并新建来源，通过当前门槛后回到步骤</w:t>
      </w:r>
      <w:r>
        <w:t>2</w:t>
      </w:r>
      <w:r>
        <w:t>重新计算；仍不足则把实际名额缩减为可行数量。</w:t>
      </w:r>
    </w:p>
    <w:p w14:paraId="1620B7D8" w14:textId="77777777" w:rsidR="009F0F61" w:rsidRDefault="00F555AD">
      <w:pPr>
        <w:spacing w:after="60" w:line="264" w:lineRule="auto"/>
        <w:ind w:firstLine="480"/>
      </w:pPr>
      <w:r>
        <w:t>步骤</w:t>
      </w:r>
      <w:r>
        <w:t>6</w:t>
      </w:r>
      <w:r>
        <w:t>：逐名额确定父实例，按组概率选择局部变更组，或按预先配置的联合提议分支同时改变多个可变组。派生输入继承父来源。</w:t>
      </w:r>
    </w:p>
    <w:p w14:paraId="00399B09" w14:textId="77777777" w:rsidR="009F0F61" w:rsidRDefault="00F555AD">
      <w:pPr>
        <w:spacing w:after="60" w:line="264" w:lineRule="auto"/>
        <w:ind w:firstLine="480"/>
      </w:pPr>
      <w:r>
        <w:t>步骤</w:t>
      </w:r>
      <w:r>
        <w:t>7</w:t>
      </w:r>
      <w:r>
        <w:t>：调用仿真时，所属来源已用搜索名额加</w:t>
      </w:r>
      <w:r>
        <w:t>1</w:t>
      </w:r>
      <w:r>
        <w:t>；执行后记录接纳、拒绝或异常。有效失效立即保存；有效单组配对进入风险反馈，联合提议排除在单组反馈之外。</w:t>
      </w:r>
    </w:p>
    <w:p w14:paraId="3CFD5946" w14:textId="77777777" w:rsidR="009F0F61" w:rsidRDefault="00F555AD">
      <w:pPr>
        <w:spacing w:after="60" w:line="264" w:lineRule="auto"/>
        <w:ind w:firstLine="480"/>
      </w:pPr>
      <w:r>
        <w:t>步骤</w:t>
      </w:r>
      <w:r>
        <w:t>8</w:t>
      </w:r>
      <w:r>
        <w:t>：在剩余诊断预算内补充配对或中点检查，更新确认边、域成员和目标域；诊断调用计入总预算，搜索已用额度保持不变。按更新结果进入下一轮，达到预算或终止条件时输出记录。</w:t>
      </w:r>
    </w:p>
    <w:p w14:paraId="5E56A454" w14:textId="77777777" w:rsidR="009F0F61" w:rsidRDefault="00F555AD">
      <w:pPr>
        <w:keepNext/>
        <w:spacing w:after="60" w:line="264" w:lineRule="auto"/>
        <w:ind w:firstLine="480"/>
      </w:pPr>
      <w:r>
        <w:rPr>
          <w:b/>
        </w:rPr>
        <w:t>图</w:t>
      </w:r>
      <w:r>
        <w:rPr>
          <w:b/>
        </w:rPr>
        <w:t>4</w:t>
      </w:r>
      <w:r>
        <w:rPr>
          <w:b/>
        </w:rPr>
        <w:t>的数值实施示例</w:t>
      </w:r>
    </w:p>
    <w:p w14:paraId="3CEB00D5" w14:textId="77777777" w:rsidR="009F0F61" w:rsidRDefault="00F555AD">
      <w:pPr>
        <w:spacing w:after="60" w:line="264" w:lineRule="auto"/>
        <w:ind w:firstLine="480"/>
      </w:pPr>
      <w:r>
        <w:t>设三个已确认失效域与四个来源</w:t>
      </w:r>
      <w:r>
        <w:t>A</w:t>
      </w:r>
      <w:r>
        <w:t>、</w:t>
      </w:r>
      <w:r>
        <w:t>B</w:t>
      </w:r>
      <w:r>
        <w:t>、</w:t>
      </w:r>
      <w:r>
        <w:t>C</w:t>
      </w:r>
      <w:r>
        <w:t>、</w:t>
      </w:r>
      <w:r>
        <w:t>D</w:t>
      </w:r>
      <w:r>
        <w:t>，四个来源上限均为</w:t>
      </w:r>
      <w:r>
        <w:t>3</w:t>
      </w:r>
      <w:r>
        <w:t>，已用搜索名额均为</w:t>
      </w:r>
      <w:r>
        <w:t>0</w:t>
      </w:r>
      <w:r>
        <w:t>，计划名额为</w:t>
      </w:r>
      <w:r>
        <w:t>12</w:t>
      </w:r>
      <w:r>
        <w:t>。三个域的来源名额依次为（</w:t>
      </w:r>
      <w:r>
        <w:t>2</w:t>
      </w:r>
      <w:r>
        <w:t>，</w:t>
      </w:r>
      <w:r>
        <w:t>2</w:t>
      </w:r>
      <w:r>
        <w:t>，</w:t>
      </w:r>
      <w:r>
        <w:t>0</w:t>
      </w:r>
      <w:r>
        <w:t>，</w:t>
      </w:r>
      <w:r>
        <w:t>0</w:t>
      </w:r>
      <w:r>
        <w:t>）、（</w:t>
      </w:r>
      <w:r>
        <w:t>1</w:t>
      </w:r>
      <w:r>
        <w:t>，</w:t>
      </w:r>
      <w:r>
        <w:t>0</w:t>
      </w:r>
      <w:r>
        <w:t>，</w:t>
      </w:r>
      <w:r>
        <w:t>2</w:t>
      </w:r>
      <w:r>
        <w:t>，</w:t>
      </w:r>
      <w:r>
        <w:t>1</w:t>
      </w:r>
      <w:r>
        <w:t>）与（</w:t>
      </w:r>
      <w:r>
        <w:t>0</w:t>
      </w:r>
      <w:r>
        <w:t>，</w:t>
      </w:r>
      <w:r>
        <w:t>1</w:t>
      </w:r>
      <w:r>
        <w:t>，</w:t>
      </w:r>
      <w:r>
        <w:t>1</w:t>
      </w:r>
      <w:r>
        <w:t>，</w:t>
      </w:r>
      <w:r>
        <w:t>2</w:t>
      </w:r>
      <w:r>
        <w:t>），每域</w:t>
      </w:r>
      <w:r>
        <w:t>4</w:t>
      </w:r>
      <w:r>
        <w:t>个、每来源</w:t>
      </w:r>
      <w:r>
        <w:t>3</w:t>
      </w:r>
      <w:r>
        <w:t>个，总名额</w:t>
      </w:r>
      <w:r>
        <w:t>12</w:t>
      </w:r>
      <w:r>
        <w:t>个，满足式（</w:t>
      </w:r>
      <w:r>
        <w:t>12</w:t>
      </w:r>
      <w:r>
        <w:t>）至式（</w:t>
      </w:r>
      <w:r>
        <w:t>13</w:t>
      </w:r>
      <w:r>
        <w:t>）。这些数值用于演示分配，不是仿真实测结果。</w:t>
      </w:r>
    </w:p>
    <w:p w14:paraId="1E8BCED0" w14:textId="77777777" w:rsidR="009F0F61" w:rsidRDefault="00F555AD">
      <w:pPr>
        <w:spacing w:after="60" w:line="264" w:lineRule="auto"/>
        <w:ind w:firstLine="480"/>
      </w:pPr>
      <w:r>
        <w:t>执行该轮时，每次搜索调用均使相应来源已用额度加</w:t>
      </w:r>
      <w:r>
        <w:t>1</w:t>
      </w:r>
      <w:r>
        <w:t>，即使提议被拒绝也不退回；全部</w:t>
      </w:r>
      <w:r>
        <w:t>12</w:t>
      </w:r>
      <w:r>
        <w:t>次完成后四个来源均耗尽。额外单组对照与中点检查单独计入总预算，不改变上述已用搜索次数。下一轮若补充独立来源</w:t>
      </w:r>
      <w:r>
        <w:t>E</w:t>
      </w:r>
      <w:r>
        <w:t>，通过同一门槛后可使用</w:t>
      </w:r>
      <w:r>
        <w:t>E</w:t>
      </w:r>
      <w:r>
        <w:t>的额度，</w:t>
      </w:r>
      <w:r>
        <w:t>A</w:t>
      </w:r>
      <w:r>
        <w:t>至</w:t>
      </w:r>
      <w:r>
        <w:t>D</w:t>
      </w:r>
      <w:r>
        <w:t>的额度仍为零；没有可用新来源时缩减名额或结束搜索。</w:t>
      </w:r>
    </w:p>
    <w:p w14:paraId="00759400" w14:textId="77777777" w:rsidR="00C65BD9" w:rsidRDefault="003C66B1">
      <w:pPr>
        <w:pStyle w:val="21"/>
        <w:spacing w:before="100" w:after="50"/>
      </w:pPr>
      <w:r>
        <w:t xml:space="preserve">5.8 </w:t>
      </w:r>
      <w:r>
        <w:t>失效保存、终止条件与成本口径</w:t>
      </w:r>
    </w:p>
    <w:p w14:paraId="39BB86C3" w14:textId="77777777" w:rsidR="00C65BD9" w:rsidRDefault="003C66B1">
      <w:pPr>
        <w:spacing w:after="60" w:line="264" w:lineRule="auto"/>
        <w:ind w:firstLine="420"/>
      </w:pPr>
      <w:r>
        <w:t>每次执行完成后，把完整实例与执行记录写入测试存储；有效执行发生失效时建立失效索引。记录包括自然事件标识、道路几何、稳定车辆身份、尺寸、起始状态、历史有效掩码、全部行为输入、生成参考或其重建输入、逐时随机数组、策略随机实现、模型与配置版本、实际轨迹、风险过程、失效域判定证据、父实例与来源标识。内容哈希用于核对实例一致性及是否重复执行。</w:t>
      </w:r>
    </w:p>
    <w:p w14:paraId="6A2DBA9C" w14:textId="77777777" w:rsidR="00C65BD9" w:rsidRDefault="003C66B1">
      <w:pPr>
        <w:spacing w:after="60" w:line="264" w:lineRule="auto"/>
        <w:ind w:firstLine="420"/>
      </w:pPr>
      <w:r>
        <w:t>完整测试记录与代表档案分开管理。完整记录保存实际发现的失效及其复现输入；代表档案按行为距离、容量与来源上限选取用于查看或训练的代表。代表被替换、未获得下一轮名额或被移出有限容量档案时，其已保存的失效记录继续保留；代表性筛选因此不影响既有失效的可复现性。重复执行计入成本，但不增加按实例哈希去重的失效数。</w:t>
      </w:r>
    </w:p>
    <w:p w14:paraId="775CDAD2" w14:textId="77777777" w:rsidR="00C65BD9" w:rsidRDefault="003C66B1">
      <w:pPr>
        <w:spacing w:after="60" w:line="264" w:lineRule="auto"/>
        <w:ind w:firstLine="420"/>
      </w:pPr>
      <w:r>
        <w:lastRenderedPageBreak/>
        <w:t>搜索前设定总执行预算、每层最大提议数、最大层数、诊断检查预算与连续若干轮无新增失效域的停止条件。独立抽样、搜索提议、额外配对执行、中点检查与异常调用均计入总预算，同一实际调用只记一次。一种配置为总预算</w:t>
      </w:r>
      <w:r>
        <w:t>5000</w:t>
      </w:r>
      <w:r>
        <w:t>次、初始独立抽样</w:t>
      </w:r>
      <w:r>
        <w:t>500</w:t>
      </w:r>
      <w:r>
        <w:t>次、每批</w:t>
      </w:r>
      <w:r>
        <w:t>250</w:t>
      </w:r>
      <w:r>
        <w:t>次、分支检查上限</w:t>
      </w:r>
      <w:r>
        <w:t>500</w:t>
      </w:r>
      <w:r>
        <w:t>次、层数上限</w:t>
      </w:r>
      <w:r>
        <w:t>8</w:t>
      </w:r>
      <w:r>
        <w:t>层、风险保留比例</w:t>
      </w:r>
      <w:r>
        <w:t>0.1</w:t>
      </w:r>
      <w:r>
        <w:t>、代表档案容量</w:t>
      </w:r>
      <w:r>
        <w:t>16</w:t>
      </w:r>
      <w:r>
        <w:t>且档案单来源上限</w:t>
      </w:r>
      <w:r>
        <w:t>4</w:t>
      </w:r>
      <w:r>
        <w:t>。档案保留上限与搜索来源上限</w:t>
      </w:r>
      <m:oMath>
        <m:sSub>
          <m:sSubPr>
            <m:ctrlPr>
              <w:rPr>
                <w:rFonts w:ascii="Cambria Math" w:hAnsi="Cambria Math"/>
              </w:rPr>
            </m:ctrlPr>
          </m:sSubPr>
          <m:e>
            <m:r>
              <w:rPr>
                <w:rFonts w:ascii="Cambria Math" w:hAnsi="Cambria Math"/>
              </w:rPr>
              <m:t>C</m:t>
            </m:r>
          </m:e>
          <m:sub>
            <m:r>
              <w:rPr>
                <w:rFonts w:ascii="Cambria Math" w:hAnsi="Cambria Math"/>
              </w:rPr>
              <m:t>α</m:t>
            </m:r>
          </m:sub>
        </m:sSub>
      </m:oMath>
      <w:r>
        <w:t>分别配置，不混用。达到预算、层数或停止条件时输出完整记录与终止原因；同预算比较按事先确定的新来源重启规则使用共同预算。</w:t>
      </w:r>
    </w:p>
    <w:p w14:paraId="40439690" w14:textId="77777777" w:rsidR="00C65BD9" w:rsidRDefault="003C66B1">
      <w:pPr>
        <w:spacing w:after="60" w:line="264" w:lineRule="auto"/>
        <w:ind w:firstLine="420"/>
      </w:pPr>
      <w:r>
        <w:t>失效档案的可选用途为策略定向更新：强化学习策略可从常规场景、新增失效与历史场景中混合重置，并由当前策略重新采集训练转移；监督规划器须使用经完整闭环执行验证的修正示范或符合其原生目标的材料。失效执行中的动作不直接作为正确动作标签。更新后的策略需重新执行风险比较与安全检查，旧策略轨迹不能替代新策略的运行结果。本发明的测试输出不依赖特定更新算法，可独立向外部开发流程输出可重放的场景集合。</w:t>
      </w:r>
    </w:p>
    <w:p w14:paraId="7BF3D7EB" w14:textId="77777777" w:rsidR="00C65BD9" w:rsidRDefault="003C66B1">
      <w:pPr>
        <w:pStyle w:val="1"/>
        <w:spacing w:before="160" w:after="50"/>
      </w:pPr>
      <w:r>
        <w:t xml:space="preserve">6 </w:t>
      </w:r>
      <w:r>
        <w:t>关键技术特征与欲保护内容</w:t>
      </w:r>
    </w:p>
    <w:p w14:paraId="54AF48C2" w14:textId="77777777" w:rsidR="00C65BD9" w:rsidRDefault="003C66B1">
      <w:pPr>
        <w:pStyle w:val="21"/>
        <w:spacing w:before="100" w:after="50"/>
      </w:pPr>
      <w:r>
        <w:t xml:space="preserve">6.1 </w:t>
      </w:r>
      <w:r>
        <w:t>独立方法应记载的技术关系</w:t>
      </w:r>
    </w:p>
    <w:p w14:paraId="63871404" w14:textId="77777777" w:rsidR="00C65BD9" w:rsidRDefault="003C66B1">
      <w:pPr>
        <w:spacing w:after="60" w:line="264" w:lineRule="auto"/>
        <w:ind w:firstLine="420"/>
      </w:pPr>
      <w:r>
        <w:t>核心保护关系包括：固定自然驾驶事件条件并建立按车辆、帧与变量类型索引的可变背景输入；在承接当前运动的背景响应中取得实际轨迹；以仅单组输入不同的有效执行风险差更新组选择概率，并将联合提议排除在单组归因之外；由失效实例中点的实际执行建立连通边，按连通分量确认失效域；在同一来源跨域共用剩余额度的约束下分配名额；将名额与组概率共同用于下一次闭环输入生成，并保存有效失效及其完整重放材料。</w:t>
      </w:r>
    </w:p>
    <w:p w14:paraId="5017B99D" w14:textId="77777777" w:rsidR="00C65BD9" w:rsidRDefault="003C66B1">
      <w:pPr>
        <w:spacing w:after="60" w:line="264" w:lineRule="auto"/>
        <w:ind w:firstLine="420"/>
      </w:pPr>
      <w:r>
        <w:t>这些处理通过同一执行记录衔接：风险与关键车辆用于更新选组依据，失效标签和中点评分用于确认域成员，来源标识与已用搜索名额用于限制后续调用次数。三类结果共同进入行为生成接口；每个新实例执行后，继续按相同规则更新。</w:t>
      </w:r>
    </w:p>
    <w:p w14:paraId="3938A5E9" w14:textId="77777777" w:rsidR="00C65BD9" w:rsidRDefault="003C66B1">
      <w:pPr>
        <w:pStyle w:val="21"/>
        <w:spacing w:before="100" w:after="50"/>
      </w:pPr>
      <w:r>
        <w:t xml:space="preserve">6.2 </w:t>
      </w:r>
      <w:r>
        <w:t>可进一步限定的特征</w:t>
      </w:r>
    </w:p>
    <w:tbl>
      <w:tblPr>
        <w:tblStyle w:val="aff1"/>
        <w:tblW w:w="0" w:type="auto"/>
        <w:jc w:val="center"/>
        <w:tblLayout w:type="fixed"/>
        <w:tblLook w:val="04A0" w:firstRow="1" w:lastRow="0" w:firstColumn="1" w:lastColumn="0" w:noHBand="0" w:noVBand="1"/>
      </w:tblPr>
      <w:tblGrid>
        <w:gridCol w:w="1814"/>
        <w:gridCol w:w="7370"/>
      </w:tblGrid>
      <w:tr w:rsidR="00C65BD9" w14:paraId="72CA345D" w14:textId="77777777">
        <w:trPr>
          <w:cantSplit/>
          <w:tblHeader/>
          <w:jc w:val="center"/>
        </w:trPr>
        <w:tc>
          <w:tcPr>
            <w:tcW w:w="1814" w:type="dxa"/>
            <w:shd w:val="clear" w:color="auto" w:fill="EDEDED"/>
            <w:vAlign w:val="center"/>
          </w:tcPr>
          <w:p w14:paraId="4D41A85F" w14:textId="77777777" w:rsidR="00C65BD9" w:rsidRDefault="003C66B1">
            <w:pPr>
              <w:spacing w:before="50" w:after="50" w:line="252" w:lineRule="auto"/>
            </w:pPr>
            <w:r>
              <w:rPr>
                <w:b/>
              </w:rPr>
              <w:t>限定方向</w:t>
            </w:r>
          </w:p>
        </w:tc>
        <w:tc>
          <w:tcPr>
            <w:tcW w:w="7370" w:type="dxa"/>
            <w:shd w:val="clear" w:color="auto" w:fill="EDEDED"/>
            <w:vAlign w:val="center"/>
          </w:tcPr>
          <w:p w14:paraId="6AE51E59" w14:textId="77777777" w:rsidR="00C65BD9" w:rsidRDefault="003C66B1">
            <w:pPr>
              <w:spacing w:before="50" w:after="50" w:line="252" w:lineRule="auto"/>
            </w:pPr>
            <w:r>
              <w:rPr>
                <w:b/>
              </w:rPr>
              <w:t>具体技术特征及作用</w:t>
            </w:r>
          </w:p>
        </w:tc>
      </w:tr>
      <w:tr w:rsidR="00C65BD9" w14:paraId="5967FFD3" w14:textId="77777777">
        <w:trPr>
          <w:cantSplit/>
          <w:jc w:val="center"/>
        </w:trPr>
        <w:tc>
          <w:tcPr>
            <w:tcW w:w="1814" w:type="dxa"/>
            <w:vAlign w:val="center"/>
          </w:tcPr>
          <w:p w14:paraId="5247D3B0" w14:textId="77777777" w:rsidR="00C65BD9" w:rsidRDefault="003C66B1">
            <w:pPr>
              <w:spacing w:before="50" w:after="50" w:line="252" w:lineRule="auto"/>
            </w:pPr>
            <w:r>
              <w:t>可重放输入</w:t>
            </w:r>
          </w:p>
        </w:tc>
        <w:tc>
          <w:tcPr>
            <w:tcW w:w="7370" w:type="dxa"/>
            <w:vAlign w:val="center"/>
          </w:tcPr>
          <w:p w14:paraId="2890E32D" w14:textId="77777777" w:rsidR="00C65BD9" w:rsidRDefault="003C66B1">
            <w:pPr>
              <w:spacing w:before="50" w:after="50" w:line="252" w:lineRule="auto"/>
            </w:pPr>
            <w:r>
              <w:t>按稳定车辆身份、物理帧与变量类型预索引随机数组，未选中元素索引与值不变；从事件起点重放并恢复控制器、机动状态、策略内部状态与全部随机索引。使配对比较与复现使用同一执行条件。</w:t>
            </w:r>
          </w:p>
        </w:tc>
      </w:tr>
      <w:tr w:rsidR="00C65BD9" w14:paraId="0186CDFA" w14:textId="77777777">
        <w:trPr>
          <w:cantSplit/>
          <w:jc w:val="center"/>
        </w:trPr>
        <w:tc>
          <w:tcPr>
            <w:tcW w:w="1814" w:type="dxa"/>
            <w:vAlign w:val="center"/>
          </w:tcPr>
          <w:p w14:paraId="05CE30A0" w14:textId="77777777" w:rsidR="00C65BD9" w:rsidRDefault="003C66B1">
            <w:pPr>
              <w:spacing w:before="50" w:after="50" w:line="252" w:lineRule="auto"/>
            </w:pPr>
            <w:r>
              <w:t>响应判别</w:t>
            </w:r>
          </w:p>
        </w:tc>
        <w:tc>
          <w:tcPr>
            <w:tcW w:w="7370" w:type="dxa"/>
            <w:vAlign w:val="center"/>
          </w:tcPr>
          <w:p w14:paraId="522C1DF9" w14:textId="77777777" w:rsidR="00C65BD9" w:rsidRDefault="003C66B1">
            <w:pPr>
              <w:spacing w:before="50" w:after="50" w:line="252" w:lineRule="auto"/>
            </w:pPr>
            <w:r>
              <w:t>结合短时冲突支持比例与已标定交互刺激触发接管；分别记录</w:t>
            </w:r>
            <w:r>
              <w:t>“</w:t>
            </w:r>
            <w:r>
              <w:t>控制权已接管</w:t>
            </w:r>
            <w:r>
              <w:t>”</w:t>
            </w:r>
            <w:r>
              <w:t>与</w:t>
            </w:r>
            <w:r>
              <w:t>“</w:t>
            </w:r>
            <w:r>
              <w:t>实际动作已偏离基准</w:t>
            </w:r>
            <w:r>
              <w:t>”</w:t>
            </w:r>
            <w:r>
              <w:t>，仅以后者参与向其他车辆的响应传播；事件内保持控制权。避免以标签代替实际运动证据。</w:t>
            </w:r>
          </w:p>
        </w:tc>
      </w:tr>
      <w:tr w:rsidR="00C65BD9" w14:paraId="07A5AFC6" w14:textId="77777777">
        <w:trPr>
          <w:cantSplit/>
          <w:jc w:val="center"/>
        </w:trPr>
        <w:tc>
          <w:tcPr>
            <w:tcW w:w="1814" w:type="dxa"/>
            <w:vAlign w:val="center"/>
          </w:tcPr>
          <w:p w14:paraId="2B988E3E" w14:textId="77777777" w:rsidR="00C65BD9" w:rsidRDefault="003C66B1">
            <w:pPr>
              <w:spacing w:before="50" w:after="50" w:line="252" w:lineRule="auto"/>
            </w:pPr>
            <w:r>
              <w:t>机动承接</w:t>
            </w:r>
          </w:p>
        </w:tc>
        <w:tc>
          <w:tcPr>
            <w:tcW w:w="7370" w:type="dxa"/>
            <w:vAlign w:val="center"/>
          </w:tcPr>
          <w:p w14:paraId="1695B0A0" w14:textId="77777777" w:rsidR="00C65BD9" w:rsidRDefault="003C66B1">
            <w:pPr>
              <w:spacing w:before="50" w:after="50" w:line="252" w:lineRule="auto"/>
            </w:pPr>
            <w:r>
              <w:t>接管时保存目标车道、换道是否开始、当前进度与上一实际动作；已开始的换道从当前位置与横向速度连续构造轨迹；或按实际纵向位置或弧长重查同一路径的横向参考。避免运动断续与位置跳变。</w:t>
            </w:r>
          </w:p>
        </w:tc>
      </w:tr>
      <w:tr w:rsidR="00C65BD9" w14:paraId="5D4198D1" w14:textId="77777777">
        <w:trPr>
          <w:cantSplit/>
          <w:jc w:val="center"/>
        </w:trPr>
        <w:tc>
          <w:tcPr>
            <w:tcW w:w="1814" w:type="dxa"/>
            <w:vAlign w:val="center"/>
          </w:tcPr>
          <w:p w14:paraId="7A54FF41" w14:textId="77777777" w:rsidR="00C65BD9" w:rsidRDefault="003C66B1">
            <w:pPr>
              <w:spacing w:before="50" w:after="50" w:line="252" w:lineRule="auto"/>
            </w:pPr>
            <w:r>
              <w:t>归因隔离</w:t>
            </w:r>
          </w:p>
        </w:tc>
        <w:tc>
          <w:tcPr>
            <w:tcW w:w="7370" w:type="dxa"/>
            <w:vAlign w:val="center"/>
          </w:tcPr>
          <w:p w14:paraId="29D14B46" w14:textId="77777777" w:rsidR="00C65BD9" w:rsidRDefault="003C66B1">
            <w:pPr>
              <w:spacing w:before="50" w:after="50" w:line="252" w:lineRule="auto"/>
            </w:pPr>
            <w:r>
              <w:t>仅用双方均有效的配对；以归一化且截断的绝对风险差更新敏感度；联合置换计入预算但不计入风险差与敏感度；正平滑项与独立抽样通道保持探索。使组概率保持可归因含义。</w:t>
            </w:r>
          </w:p>
        </w:tc>
      </w:tr>
      <w:tr w:rsidR="00C65BD9" w14:paraId="6CDCB9D7" w14:textId="77777777">
        <w:trPr>
          <w:cantSplit/>
          <w:jc w:val="center"/>
        </w:trPr>
        <w:tc>
          <w:tcPr>
            <w:tcW w:w="1814" w:type="dxa"/>
            <w:vAlign w:val="center"/>
          </w:tcPr>
          <w:p w14:paraId="38906258" w14:textId="77777777" w:rsidR="00C65BD9" w:rsidRDefault="003C66B1">
            <w:pPr>
              <w:spacing w:before="50" w:after="50" w:line="252" w:lineRule="auto"/>
            </w:pPr>
            <w:r>
              <w:lastRenderedPageBreak/>
              <w:t>失效域判定</w:t>
            </w:r>
          </w:p>
        </w:tc>
        <w:tc>
          <w:tcPr>
            <w:tcW w:w="7370" w:type="dxa"/>
            <w:vAlign w:val="center"/>
          </w:tcPr>
          <w:p w14:paraId="16198A56" w14:textId="77777777" w:rsidR="00C65BD9" w:rsidRDefault="003C66B1">
            <w:pPr>
              <w:spacing w:before="50" w:after="50" w:line="252" w:lineRule="auto"/>
            </w:pPr>
            <w:r>
              <w:t>以已失效实例为图节点，中点实际执行得分满足判据时建立边，按连通分量确定经验失效域；对异常或未完成检查记录未知，分类器仅推荐核验对象或目标域，不替代实际成员确认。</w:t>
            </w:r>
          </w:p>
        </w:tc>
      </w:tr>
      <w:tr w:rsidR="00C65BD9" w14:paraId="77F02A2E" w14:textId="77777777">
        <w:trPr>
          <w:cantSplit/>
          <w:jc w:val="center"/>
        </w:trPr>
        <w:tc>
          <w:tcPr>
            <w:tcW w:w="1814" w:type="dxa"/>
            <w:vAlign w:val="center"/>
          </w:tcPr>
          <w:p w14:paraId="6AD25A93" w14:textId="77777777" w:rsidR="00C65BD9" w:rsidRDefault="003C66B1">
            <w:pPr>
              <w:spacing w:before="50" w:after="50" w:line="252" w:lineRule="auto"/>
            </w:pPr>
            <w:r>
              <w:t>联合分配</w:t>
            </w:r>
          </w:p>
        </w:tc>
        <w:tc>
          <w:tcPr>
            <w:tcW w:w="7370" w:type="dxa"/>
            <w:vAlign w:val="center"/>
          </w:tcPr>
          <w:p w14:paraId="22E9A1C8" w14:textId="77777777" w:rsidR="00C65BD9" w:rsidRDefault="003C66B1">
            <w:pPr>
              <w:spacing w:before="50" w:after="50" w:line="252" w:lineRule="auto"/>
            </w:pPr>
            <w:r>
              <w:t>建立失效域与来源的二部图，以名额总数限制总流量，失效域侧容量</w:t>
            </w:r>
            <w:r>
              <w:t>1</w:t>
            </w:r>
            <w:r>
              <w:t>、来源侧容量为总上限减已用搜索名额；最大流选代表后填充剩余名额；容量不足时补充新独立来源或缩减名额。</w:t>
            </w:r>
          </w:p>
        </w:tc>
      </w:tr>
      <w:tr w:rsidR="00C65BD9" w14:paraId="7B32FC1A" w14:textId="77777777">
        <w:trPr>
          <w:cantSplit/>
          <w:jc w:val="center"/>
        </w:trPr>
        <w:tc>
          <w:tcPr>
            <w:tcW w:w="1814" w:type="dxa"/>
            <w:vAlign w:val="center"/>
          </w:tcPr>
          <w:p w14:paraId="538F0D36" w14:textId="77777777" w:rsidR="00C65BD9" w:rsidRDefault="003C66B1">
            <w:pPr>
              <w:spacing w:before="50" w:after="50" w:line="252" w:lineRule="auto"/>
            </w:pPr>
            <w:r>
              <w:t>谱系与存储</w:t>
            </w:r>
          </w:p>
        </w:tc>
        <w:tc>
          <w:tcPr>
            <w:tcW w:w="7370" w:type="dxa"/>
            <w:vAlign w:val="center"/>
          </w:tcPr>
          <w:p w14:paraId="31FABD0A" w14:textId="77777777" w:rsidR="00C65BD9" w:rsidRDefault="003C66B1">
            <w:pPr>
              <w:spacing w:before="50" w:after="50" w:line="252" w:lineRule="auto"/>
            </w:pPr>
            <w:r>
              <w:t>完整独立抽样建立新来源，派生实例跨域继承；搜索执行累计已用额度，诊断执行单独记入总预算；完整失效记录与容量受限代表档案分开保存，输入、版本与轨迹建立内容核验信息。</w:t>
            </w:r>
          </w:p>
        </w:tc>
      </w:tr>
    </w:tbl>
    <w:p w14:paraId="6DFE589E" w14:textId="77777777" w:rsidR="00C65BD9" w:rsidRDefault="00C65BD9">
      <w:pPr>
        <w:spacing w:after="0"/>
      </w:pPr>
    </w:p>
    <w:p w14:paraId="519AAA3F" w14:textId="77777777" w:rsidR="00C65BD9" w:rsidRDefault="003C66B1">
      <w:pPr>
        <w:pStyle w:val="21"/>
        <w:spacing w:before="100" w:after="50"/>
      </w:pPr>
      <w:r>
        <w:t xml:space="preserve">6.3 </w:t>
      </w:r>
      <w:r>
        <w:t>候选权利要求（供代理师起草参考）</w:t>
      </w:r>
    </w:p>
    <w:p w14:paraId="35820EAD" w14:textId="77777777" w:rsidR="00C65BD9" w:rsidRDefault="003C66B1">
      <w:pPr>
        <w:spacing w:after="60" w:line="264" w:lineRule="auto"/>
        <w:ind w:firstLine="420"/>
      </w:pPr>
      <w:r>
        <w:t>以下候选权利要求按前述技术关系组织，供代理师结合具体申请文本起草。各从属项限定输入复现、连通性核验、名额分配或存储方式。</w:t>
      </w:r>
    </w:p>
    <w:p w14:paraId="5979C9E1" w14:textId="77777777" w:rsidR="00C65BD9" w:rsidRDefault="003C66B1">
      <w:pPr>
        <w:spacing w:after="60" w:line="264" w:lineRule="auto"/>
      </w:pPr>
      <w:r>
        <w:t>1</w:t>
      </w:r>
      <w:r>
        <w:t>．一种自然驾驶事件约束的自动驾驶多失效域测试方法，由测试设备执行，其特征在于，包括：取得自然驾驶事件，固定道路几何、稳定车辆身份、车辆尺寸、起始状态与有效历史，将允许变化的背景行为表示为按稳定车辆身份、物理帧与变量类型索引的多个参数组，完整独立条件抽样建立来源标识；依据固定条件与行为输入执行被测策略和背景车辆的闭环仿真，在参考不再适用时承接背景车辆当前运动与已开始的机动并执行背景响应，得到实际轨迹、事件风险与失效标签；保持固定条件、被测策略、环境配置、未选中输入与相应随机实现一致，仅改变一个参数组并从事件起点执行，以有效配对的实际风险差更新该组的选择概率，同时改变多个参数组的联合提议不计入所述风险差；对已经发生失效的有效实例，以两个行为输入的中间点重新执行，所得分层得分不低于两端得分的较小者时建立连通边，按连通分量确定失效域；对满足本层风险门槛的准入候选分配非负整数执行名额，以获得名额的已确认失效域数量为最大化目标，将同一来源在全部失效域与目标域中的名额合并计数，并约束该合并计数与该来源已用搜索名额之和不超过其预设上限；按名额确定父实例及执行次数，按选择概率确定局部变更参数组，生成下一轮行为输入并送回同一闭环仿真，派生实例继承来源标识，完整独立条件抽样建立新来源标识；保存有效失效实例的完整输入、实际轨迹和模型版本。</w:t>
      </w:r>
    </w:p>
    <w:p w14:paraId="30429E12" w14:textId="77777777" w:rsidR="00C65BD9" w:rsidRDefault="003C66B1">
      <w:pPr>
        <w:spacing w:after="60" w:line="264" w:lineRule="auto"/>
      </w:pPr>
      <w:r>
        <w:t>2</w:t>
      </w:r>
      <w:r>
        <w:t>．根据权利要求</w:t>
      </w:r>
      <w:r>
        <w:t>1</w:t>
      </w:r>
      <w:r>
        <w:t>所述的方法，其特征在于，场景结构、占位、车辆尺寸与初始条件组在同一事件的搜索及独立条件抽样中保持不变，不进入局部可变参数组集合；所述可变参数组中的响应标定量用于背景车辆响应控制器，不改变被测策略；所述中间点在同一事件的固定帧数与数组形状下，按组内预设尺度归一化后逐元素取算术中点并反归一化。</w:t>
      </w:r>
    </w:p>
    <w:p w14:paraId="06B6F082" w14:textId="77777777" w:rsidR="00C65BD9" w:rsidRDefault="003C66B1">
      <w:pPr>
        <w:spacing w:after="60" w:line="264" w:lineRule="auto"/>
      </w:pPr>
      <w:r>
        <w:t>3</w:t>
      </w:r>
      <w:r>
        <w:t>．根据权利要求</w:t>
      </w:r>
      <w:r>
        <w:t>1</w:t>
      </w:r>
      <w:r>
        <w:t>所述的方法，其特征在于，从已失效实例中按来源均衡选取预设数量的代表，两两执行中间点判定，按确认的连通边计算连通分量；中间点执行异常或检查未完成时记为未知，不以未知判定不同失效域；对其余实例通过与代表的实际中点检查确认成员关系，未失效高风险候选的目标域指派不改变其失效标签。</w:t>
      </w:r>
    </w:p>
    <w:p w14:paraId="33356825" w14:textId="77777777" w:rsidR="00C65BD9" w:rsidRDefault="003C66B1">
      <w:pPr>
        <w:spacing w:after="60" w:line="264" w:lineRule="auto"/>
      </w:pPr>
      <w:r>
        <w:t>4</w:t>
      </w:r>
      <w:r>
        <w:t>．根据权利要求</w:t>
      </w:r>
      <w:r>
        <w:t>1</w:t>
      </w:r>
      <w:r>
        <w:t>所述的方法，其特征在于，建立已确认失效域与来源的二部图，仅在域内存在相应来源的准入失效成员时连边，失效域侧容量为</w:t>
      </w:r>
      <w:r>
        <w:t>1</w:t>
      </w:r>
      <w:r>
        <w:t>，来源到汇点容量为该</w:t>
      </w:r>
      <w:r>
        <w:lastRenderedPageBreak/>
        <w:t>来源上限减已用搜索名额，并以总名额限制总流量；计算最大流选取域代表，再在剩余来源容量内按累计扩展次数、风险与实例核验标识填充其余名额。</w:t>
      </w:r>
    </w:p>
    <w:p w14:paraId="22E920C5" w14:textId="77777777" w:rsidR="00C65BD9" w:rsidRDefault="003C66B1">
      <w:pPr>
        <w:spacing w:after="60" w:line="264" w:lineRule="auto"/>
      </w:pPr>
      <w:r>
        <w:t>5</w:t>
      </w:r>
      <w:r>
        <w:t>．根据权利要求</w:t>
      </w:r>
      <w:r>
        <w:t>1</w:t>
      </w:r>
      <w:r>
        <w:t>所述的方法，其特征在于，所述更新被选概率包括：仅采用变更前后均有效执行的配对，按经基准风险归一化并截断的绝对风险差更新该参数组的累积量，并结合该参数组相对关键车辆的适用性权重与正平滑项确定被选概率；尚未取得有效配对的参数组保留预设累积量。</w:t>
      </w:r>
    </w:p>
    <w:p w14:paraId="649AEA6C" w14:textId="77777777" w:rsidR="00C65BD9" w:rsidRDefault="003C66B1">
      <w:pPr>
        <w:spacing w:after="60" w:line="264" w:lineRule="auto"/>
      </w:pPr>
      <w:r>
        <w:t>6</w:t>
      </w:r>
      <w:r>
        <w:t>．根据权利要求</w:t>
      </w:r>
      <w:r>
        <w:t>1</w:t>
      </w:r>
      <w:r>
        <w:t>所述的方法，其特征在于，所述执行背景响应包括：依据经验预测误差下短时几何冲突的支持比例，或跟驰、前车离开的交互刺激，触发对背景车辆的一次接管；接管时保存目标车道、换道是否已开始、当前换道进度与上一实际动作，已开始的换道自当前实际位置与横向速度连续构造轨迹；分别记录控制权已转移的第一状态量与实际动作已偏离参考跟踪动作的第二状态量，仅以第二状态量参与向其他车辆的响应传播。</w:t>
      </w:r>
    </w:p>
    <w:p w14:paraId="26202EAB" w14:textId="77777777" w:rsidR="00C65BD9" w:rsidRDefault="003C66B1">
      <w:pPr>
        <w:spacing w:after="60" w:line="264" w:lineRule="auto"/>
      </w:pPr>
      <w:r>
        <w:t>7</w:t>
      </w:r>
      <w:r>
        <w:t>．根据权利要求</w:t>
      </w:r>
      <w:r>
        <w:t>1</w:t>
      </w:r>
      <w:r>
        <w:t>所述的方法，其特征在于，已用搜索名额仅随名额产生的搜索执行累计，拒绝或异常执行不退回名额；额外单组诊断执行与中点检查计入总预算，不消耗搜索名额，已有结果复用不重复计数；剩余容量不足时补充完整独立条件抽样，新来源的已用搜索名额初始化为零，通过同一风险门槛后加入候选；仍不足时缩减本轮实际名额，不重编号旧来源、不放宽风险门槛。</w:t>
      </w:r>
    </w:p>
    <w:p w14:paraId="3BAB0C25" w14:textId="77777777" w:rsidR="00C65BD9" w:rsidRDefault="003C66B1">
      <w:pPr>
        <w:spacing w:after="60" w:line="264" w:lineRule="auto"/>
      </w:pPr>
      <w:r>
        <w:t>8</w:t>
      </w:r>
      <w:r>
        <w:t>．根据权利要求</w:t>
      </w:r>
      <w:r>
        <w:t>1</w:t>
      </w:r>
      <w:r>
        <w:t>所述的方法，其特征在于，所述保存包括：将完整失效记录与容量受限的代表档案分开存储，所述代表档案按失效域、行为描述距离与来源上限选取，代表被替换时其已保存的失效记录继续保留；为输入、模型版本与实际轨迹建立内容核验信息，并按实例内容去重统计失效数量。</w:t>
      </w:r>
    </w:p>
    <w:p w14:paraId="2BFDBFDC" w14:textId="77777777" w:rsidR="00C65BD9" w:rsidRDefault="003C66B1">
      <w:pPr>
        <w:spacing w:after="60" w:line="264" w:lineRule="auto"/>
      </w:pPr>
      <w:r>
        <w:t>9</w:t>
      </w:r>
      <w:r>
        <w:t>．一种自动驾驶测试系统，包括处理器、存储器及交通仿真接口，其特征在于，存储器保存事件固定条件、按参数组索引的行为输入、来源标识、已用搜索名额与执行结果；处理器执行权利要求</w:t>
      </w:r>
      <w:r>
        <w:t>1</w:t>
      </w:r>
      <w:r>
        <w:t>至</w:t>
      </w:r>
      <w:r>
        <w:t>8</w:t>
      </w:r>
      <w:r>
        <w:t>任一项所述的方法，其中，交互执行模块输出实际轨迹与风险，风险比较模块输出组选择概率，失效域判定模块输出连通证据与成员关系，联合名额分配模块输出父实例及名额，行为生成模块共同接收所述选择概率、父实例和名额并生成下一轮行为输入。</w:t>
      </w:r>
    </w:p>
    <w:p w14:paraId="2F0E87C4" w14:textId="77777777" w:rsidR="009F0F61" w:rsidRDefault="00F555AD">
      <w:pPr>
        <w:spacing w:after="60" w:line="264" w:lineRule="auto"/>
        <w:ind w:firstLine="480"/>
      </w:pPr>
      <w:r>
        <w:t>10</w:t>
      </w:r>
      <w:r>
        <w:t>．一种计算机可读存储介质，其上存储计算机程序，其特征在于，所述程序被处理器执行时实现权利要求</w:t>
      </w:r>
      <w:r>
        <w:t>1</w:t>
      </w:r>
      <w:r>
        <w:t>至</w:t>
      </w:r>
      <w:r>
        <w:t>8</w:t>
      </w:r>
      <w:r>
        <w:t>任一项所述的方法。</w:t>
      </w:r>
    </w:p>
    <w:p w14:paraId="5B7B2EB0" w14:textId="77777777" w:rsidR="009F0F61" w:rsidRDefault="00F555AD">
      <w:pPr>
        <w:spacing w:after="60" w:line="264" w:lineRule="auto"/>
        <w:ind w:firstLine="480"/>
      </w:pPr>
      <w:r>
        <w:t>11</w:t>
      </w:r>
      <w:r>
        <w:t>．一种计算机程序产品，包括计算机程序，其特征在于，所述程序被处理器执行时实现权利要求</w:t>
      </w:r>
      <w:r>
        <w:t>1</w:t>
      </w:r>
      <w:r>
        <w:t>至</w:t>
      </w:r>
      <w:r>
        <w:t>8</w:t>
      </w:r>
      <w:r>
        <w:t>任一项所述的方法。</w:t>
      </w:r>
    </w:p>
    <w:p w14:paraId="40B61B49" w14:textId="77777777" w:rsidR="00C65BD9" w:rsidRDefault="003C66B1">
      <w:pPr>
        <w:pStyle w:val="21"/>
        <w:spacing w:before="100" w:after="50"/>
      </w:pPr>
      <w:r>
        <w:t xml:space="preserve">6.4 </w:t>
      </w:r>
      <w:r>
        <w:t>系统、设备与介质</w:t>
      </w:r>
    </w:p>
    <w:p w14:paraId="25419A7C" w14:textId="77777777" w:rsidR="00C65BD9" w:rsidRDefault="003C66B1">
      <w:pPr>
        <w:spacing w:after="60" w:line="264" w:lineRule="auto"/>
        <w:ind w:firstLine="420"/>
      </w:pPr>
      <w:r>
        <w:t>相应系统包括事件处理模块、行为生成模块、交互执行模块、风险比较模块、失效域判定模块、联合名额分配模块与失效存储模块。事件处理模块输出固定条件；行为生成模块接收父实例、名额与组选择概率并输出下一轮行为输入；交互执行模块输出实际轨迹、接管记录与关键车辆；风险比较模块输出准入结果与更新后的组选择概率；失效域判定模块输出连通性证据与域归属；联合分配模块输出下一轮父实例与名额；失效存储模块保存输入、执行结果与谱系。处理器与存储器执行上述模块间的数据传递与计算，构成相应测试设备、计算机可读存储介质及程序产品。各模块可在同一仿真服务器</w:t>
      </w:r>
      <w:r>
        <w:lastRenderedPageBreak/>
        <w:t>运行，也可由携带事件标识、实例哈希与模型版本的接口连接，不以具体模型名称或硬件型号为必要限制。</w:t>
      </w:r>
    </w:p>
    <w:p w14:paraId="60D04E27" w14:textId="77777777" w:rsidR="00C65BD9" w:rsidRDefault="003C66B1">
      <w:pPr>
        <w:pStyle w:val="1"/>
        <w:spacing w:before="160" w:after="50"/>
      </w:pPr>
      <w:r>
        <w:t xml:space="preserve">7 </w:t>
      </w:r>
      <w:r>
        <w:t>有益效果</w:t>
      </w:r>
    </w:p>
    <w:p w14:paraId="32531678" w14:textId="77777777" w:rsidR="00C65BD9" w:rsidRDefault="003C66B1">
      <w:pPr>
        <w:spacing w:after="60" w:line="264" w:lineRule="auto"/>
        <w:ind w:firstLine="420"/>
      </w:pPr>
      <w:r>
        <w:t>单组归因与输入复现相互配合。事件固定条件、参数组索引及逐车逐时随机数组使配对执行在输入层面只有选中组不同，实际交互产生的后续差异由风险差反映。联合提议不进入单组反馈，因此后续组选择概率能够对应到可核对的行为调整。</w:t>
      </w:r>
    </w:p>
    <w:p w14:paraId="3891CD70" w14:textId="77777777" w:rsidR="00C65BD9" w:rsidRDefault="003C66B1">
      <w:pPr>
        <w:spacing w:after="60" w:line="264" w:lineRule="auto"/>
        <w:ind w:firstLine="420"/>
      </w:pPr>
      <w:r>
        <w:t>背景响应能够承接已有运动。参考不再适用时，响应控制器从当前位置、动作和已开始的换道继续执行，使跟驰与横向响应依据实际交通展开。分别记录接管状态和实际动作改变，避免由控制权标记直接传播未发生的运动后果。</w:t>
      </w:r>
    </w:p>
    <w:p w14:paraId="4C832557" w14:textId="77777777" w:rsidR="00C65BD9" w:rsidRDefault="003C66B1">
      <w:pPr>
        <w:spacing w:after="60" w:line="264" w:lineRule="auto"/>
        <w:ind w:firstLine="420"/>
      </w:pPr>
      <w:r>
        <w:t>失效域具有可复核的执行依据。连通边保存两端输入、中点输入与实际得分，域成员由确认边确定；未失效候选的目标域与成员关系分别记录。这样，交通描述类别、已确认失效过程与拟探索方向在调度中各有明确用途。</w:t>
      </w:r>
    </w:p>
    <w:p w14:paraId="5E3C6AC6" w14:textId="77777777" w:rsidR="00C65BD9" w:rsidRDefault="003C66B1">
      <w:pPr>
        <w:spacing w:after="60" w:line="264" w:lineRule="auto"/>
        <w:ind w:firstLine="420"/>
      </w:pPr>
      <w:r>
        <w:t>联合分配使来源上限在跨域与跨轮执行中持续生效。失效域代表在同一来源剩余额度内竞争名额，已用搜索次数与计划名额共同受限；诊断执行单独记费，使单组反馈和连通核验不会误占扩展名额。完整失效记录独立于代表档案保存，已发现失效的复现材料不随代表替换而丢失。</w:t>
      </w:r>
    </w:p>
    <w:p w14:paraId="4ED9048C" w14:textId="77777777" w:rsidR="00C65BD9" w:rsidRDefault="003C66B1">
      <w:pPr>
        <w:spacing w:after="60" w:line="264" w:lineRule="auto"/>
        <w:ind w:firstLine="420"/>
      </w:pPr>
      <w:r>
        <w:t>上述作用分别由输入一致性、运动承接、实际连通证据和共享额度产生，并在下一轮输入生成处衔接。已有数据说明条件生成与响应执行的实施方式；联合分配的完整步骤和数值示例见第</w:t>
      </w:r>
      <w:r>
        <w:t>5.7</w:t>
      </w:r>
      <w:r>
        <w:t>节，其比较验证方案见第</w:t>
      </w:r>
      <w:r>
        <w:t>8.4</w:t>
      </w:r>
      <w:r>
        <w:t>节。名额下界与约束性质是由分配规则推得的结果，不代替同预算失效发现增益的测量。</w:t>
      </w:r>
    </w:p>
    <w:p w14:paraId="769047CC" w14:textId="77777777" w:rsidR="00C65BD9" w:rsidRDefault="003C66B1">
      <w:pPr>
        <w:pStyle w:val="1"/>
        <w:spacing w:before="160" w:after="50"/>
      </w:pPr>
      <w:r>
        <w:t xml:space="preserve">8 </w:t>
      </w:r>
      <w:r>
        <w:t>实施例与工程依据</w:t>
      </w:r>
    </w:p>
    <w:p w14:paraId="181F4E41" w14:textId="77777777" w:rsidR="00C65BD9" w:rsidRDefault="003C66B1">
      <w:pPr>
        <w:pStyle w:val="21"/>
        <w:spacing w:before="100" w:after="50"/>
      </w:pPr>
      <w:r>
        <w:t xml:space="preserve">8.1 </w:t>
      </w:r>
      <w:r>
        <w:t>高速公路自然事件与条件参考生成</w:t>
      </w:r>
    </w:p>
    <w:p w14:paraId="0409D1E2" w14:textId="77777777" w:rsidR="00C65BD9" w:rsidRDefault="003C66B1">
      <w:pPr>
        <w:spacing w:after="60" w:line="264" w:lineRule="auto"/>
        <w:ind w:firstLine="420"/>
      </w:pPr>
      <w:r>
        <w:t>以</w:t>
      </w:r>
      <w:r>
        <w:t>highD</w:t>
      </w:r>
      <w:r>
        <w:t>高速公路自然驾驶轨迹为输入</w:t>
      </w:r>
      <w:r>
        <w:t>[11]</w:t>
      </w:r>
      <w:r>
        <w:t>。处理器按录像号、车辆身份与起始帧关联轨迹、车辆属性与车道元数据，把车辆中心状态转换为统一道路坐标；保留</w:t>
      </w:r>
      <w:r>
        <w:t>25 Hz</w:t>
      </w:r>
      <w:r>
        <w:t>采样，按</w:t>
      </w:r>
      <w:r>
        <w:t>150</w:t>
      </w:r>
      <w:r>
        <w:t>帧间隔截取候选窗口，每窗含</w:t>
      </w:r>
      <w:r>
        <w:t>150</w:t>
      </w:r>
      <w:r>
        <w:t>个状态与</w:t>
      </w:r>
      <w:r>
        <w:t>149</w:t>
      </w:r>
      <w:r>
        <w:t>次转移，首末状态间隔</w:t>
      </w:r>
      <w:r>
        <w:t>5.96 s</w:t>
      </w:r>
      <w:r>
        <w:t>；起始被测车辆为速度不低于</w:t>
      </w:r>
      <w:r>
        <w:t>5 m/s</w:t>
      </w:r>
      <w:r>
        <w:t>的小汽车。在窗口起点，从同车道与左右相邻车道分别选取</w:t>
      </w:r>
      <w:r>
        <w:t>150 m</w:t>
      </w:r>
      <w:r>
        <w:t>内最近的前车与后车，最多设置六个背景位置；所选车辆全窗身份稳定，缺席位置以掩码表示。换道片段要求越线前至少</w:t>
      </w:r>
      <w:r>
        <w:t>25</w:t>
      </w:r>
      <w:r>
        <w:t>帧、越线及之后至少</w:t>
      </w:r>
      <w:r>
        <w:t>50</w:t>
      </w:r>
      <w:r>
        <w:t>帧的上下文。事件库现含</w:t>
      </w:r>
      <w:r>
        <w:t>96,055</w:t>
      </w:r>
      <w:r>
        <w:t>个合格片段，现有长尾条件模型使用</w:t>
      </w:r>
      <w:r>
        <w:t>2,964</w:t>
      </w:r>
      <w:r>
        <w:t>个目标尾部事件；该数量用于说明可实施的数据规模，不构成必要数量限制。</w:t>
      </w:r>
    </w:p>
    <w:p w14:paraId="07C57C68" w14:textId="77777777" w:rsidR="00C65BD9" w:rsidRDefault="003C66B1">
      <w:pPr>
        <w:spacing w:after="60" w:line="264" w:lineRule="auto"/>
        <w:ind w:firstLine="420"/>
      </w:pPr>
      <w:r>
        <w:t>条件向量为</w:t>
      </w:r>
      <w:r>
        <w:t>26</w:t>
      </w:r>
      <w:r>
        <w:t>维：被测车辆的纵横向速度，加六个背景位置各自相对被测车辆的纵横向位置与速度；占位掩码为六位。每辆背景车在</w:t>
      </w:r>
      <w:r>
        <w:t>2.0</w:t>
      </w:r>
      <w:r>
        <w:t>、</w:t>
      </w:r>
      <w:r>
        <w:t>4.0</w:t>
      </w:r>
      <w:r>
        <w:t>与</w:t>
      </w:r>
      <w:r>
        <w:t xml:space="preserve">5.96 s </w:t>
      </w:r>
      <w:r>
        <w:t>设置二维位置结点，共</w:t>
      </w:r>
      <w:r>
        <w:t>36</w:t>
      </w:r>
      <w:r>
        <w:t>个结点坐标量；以起点与这些结点构造插值参考，再加入条件扩散残差。本事件的测试只改变结点基输入、扩散噪声、驾驶员特征、换道特征与响应随机数组；初始条件、占位与尺寸作为条件传入。图</w:t>
      </w:r>
      <w:r>
        <w:t>5</w:t>
      </w:r>
      <w:r>
        <w:t>为从既有事件库与条件生成输出中选取的一个可完整重建的事件。</w:t>
      </w:r>
    </w:p>
    <w:p w14:paraId="3E426930" w14:textId="77777777" w:rsidR="00C65BD9" w:rsidRDefault="003C66B1">
      <w:pPr>
        <w:keepNext/>
        <w:spacing w:before="80" w:after="20"/>
        <w:jc w:val="center"/>
      </w:pPr>
      <w:r>
        <w:rPr>
          <w:noProof/>
        </w:rPr>
        <w:lastRenderedPageBreak/>
        <w:drawing>
          <wp:inline distT="0" distB="0" distL="0" distR="0" wp14:anchorId="395CCD75" wp14:editId="3842D5E0">
            <wp:extent cx="4464000" cy="22472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1_natural_event.png"/>
                    <pic:cNvPicPr/>
                  </pic:nvPicPr>
                  <pic:blipFill>
                    <a:blip r:embed="rId12"/>
                    <a:stretch>
                      <a:fillRect/>
                    </a:stretch>
                  </pic:blipFill>
                  <pic:spPr>
                    <a:xfrm>
                      <a:off x="0" y="0"/>
                      <a:ext cx="4464000" cy="2247278"/>
                    </a:xfrm>
                    <a:prstGeom prst="rect">
                      <a:avLst/>
                    </a:prstGeom>
                  </pic:spPr>
                </pic:pic>
              </a:graphicData>
            </a:graphic>
          </wp:inline>
        </w:drawing>
      </w:r>
    </w:p>
    <w:p w14:paraId="14CA3440" w14:textId="77777777" w:rsidR="00C65BD9" w:rsidRDefault="003C66B1">
      <w:pPr>
        <w:keepNext/>
        <w:spacing w:after="40"/>
        <w:jc w:val="center"/>
      </w:pPr>
      <w:r>
        <w:t>图</w:t>
      </w:r>
      <w:r>
        <w:t xml:space="preserve">5  </w:t>
      </w:r>
      <w:r>
        <w:t>自然驾驶事件与关键风险时刻（既有数据）</w:t>
      </w:r>
    </w:p>
    <w:p w14:paraId="2C433E9D" w14:textId="77777777" w:rsidR="00C65BD9" w:rsidRDefault="003C66B1">
      <w:pPr>
        <w:spacing w:after="100" w:line="264" w:lineRule="auto"/>
      </w:pPr>
      <w:r>
        <w:t>上排为按事件风险降序选取的首例在四个物理时刻的道路视图，按主车纵向位置平移并保持实际空间比例；下排为风险过程与横向净距，虚线时刻取原始事件表的瞬时风险峰值。风险过程为截至当前时刻的峰值加暴露项，不是瞬时风险。</w:t>
      </w:r>
    </w:p>
    <w:p w14:paraId="2AC5CBD4" w14:textId="77777777" w:rsidR="00C65BD9" w:rsidRDefault="003C66B1">
      <w:pPr>
        <w:pStyle w:val="21"/>
        <w:spacing w:before="100" w:after="50"/>
      </w:pPr>
      <w:r>
        <w:t xml:space="preserve">8.2 </w:t>
      </w:r>
      <w:r>
        <w:t>响应执行与机动承接</w:t>
      </w:r>
    </w:p>
    <w:p w14:paraId="01293FBD" w14:textId="77777777" w:rsidR="00C65BD9" w:rsidRDefault="003C66B1">
      <w:pPr>
        <w:spacing w:after="60" w:line="264" w:lineRule="auto"/>
        <w:ind w:firstLine="420"/>
      </w:pPr>
      <w:r>
        <w:t>交通世界按</w:t>
      </w:r>
      <w:r>
        <w:t>0.04 s</w:t>
      </w:r>
      <w:r>
        <w:t>物理步长更新，背景车辆每步检查实际状态与参考适用性；一种配置使用</w:t>
      </w:r>
      <w:r>
        <w:t>1.5 s</w:t>
      </w:r>
      <w:r>
        <w:t>预测窗、</w:t>
      </w:r>
      <m:oMath>
        <m:r>
          <m:rPr>
            <m:sty m:val="p"/>
          </m:rPr>
          <w:rPr>
            <w:rFonts w:ascii="Cambria Math" w:hAnsi="Cambria Math"/>
          </w:rPr>
          <m:t>1/16</m:t>
        </m:r>
      </m:oMath>
      <w:r>
        <w:t>冲突支持门槛，并结合跟驰与前车离开刺激。接管时承接当前换道与实际位置，分别记录控制权状态、实际动作是否改变与触发原因。</w:t>
      </w:r>
    </w:p>
    <w:p w14:paraId="267EE039" w14:textId="77777777" w:rsidR="00C65BD9" w:rsidRDefault="003C66B1">
      <w:pPr>
        <w:spacing w:after="60" w:line="264" w:lineRule="auto"/>
        <w:ind w:firstLine="420"/>
      </w:pPr>
      <w:r>
        <w:t>自然记录重建材料覆盖</w:t>
      </w:r>
      <w:r>
        <w:t>10,151</w:t>
      </w:r>
      <w:r>
        <w:t>个场景，另有</w:t>
      </w:r>
      <w:r>
        <w:t>51</w:t>
      </w:r>
      <w:r>
        <w:t>个预选控制干预案例、</w:t>
      </w:r>
      <w:r>
        <w:t>204</w:t>
      </w:r>
      <w:r>
        <w:t>个执行回合，可用于说明背景车辆如何承接主车动作引起的交通变化。图</w:t>
      </w:r>
      <w:r>
        <w:t>6</w:t>
      </w:r>
      <w:r>
        <w:t>展示主车制动后的跟驰响应，图</w:t>
      </w:r>
      <w:r>
        <w:t>7</w:t>
      </w:r>
      <w:r>
        <w:t>展示已开始换道时的接管与连续执行。两组对照共享相同刺激与随机种子，主车采用脚本控制，图示用于解释响应机制。</w:t>
      </w:r>
    </w:p>
    <w:p w14:paraId="6C6CA4C6" w14:textId="77777777" w:rsidR="00C65BD9" w:rsidRDefault="003C66B1">
      <w:pPr>
        <w:keepNext/>
        <w:spacing w:before="80" w:after="20"/>
        <w:jc w:val="center"/>
      </w:pPr>
      <w:r>
        <w:rPr>
          <w:noProof/>
        </w:rPr>
        <w:drawing>
          <wp:inline distT="0" distB="0" distL="0" distR="0" wp14:anchorId="7713BA14" wp14:editId="4AD68AF3">
            <wp:extent cx="4464000" cy="18868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5_braking_response.png"/>
                    <pic:cNvPicPr/>
                  </pic:nvPicPr>
                  <pic:blipFill>
                    <a:blip r:embed="rId13"/>
                    <a:stretch>
                      <a:fillRect/>
                    </a:stretch>
                  </pic:blipFill>
                  <pic:spPr>
                    <a:xfrm>
                      <a:off x="0" y="0"/>
                      <a:ext cx="4464000" cy="1886871"/>
                    </a:xfrm>
                    <a:prstGeom prst="rect">
                      <a:avLst/>
                    </a:prstGeom>
                  </pic:spPr>
                </pic:pic>
              </a:graphicData>
            </a:graphic>
          </wp:inline>
        </w:drawing>
      </w:r>
    </w:p>
    <w:p w14:paraId="1EFA42DF" w14:textId="77777777" w:rsidR="00C65BD9" w:rsidRDefault="003C66B1">
      <w:pPr>
        <w:keepNext/>
        <w:spacing w:after="40"/>
        <w:jc w:val="center"/>
      </w:pPr>
      <w:r>
        <w:rPr>
          <w:b/>
        </w:rPr>
        <w:t>图</w:t>
      </w:r>
      <w:r>
        <w:rPr>
          <w:b/>
        </w:rPr>
        <w:t xml:space="preserve">6  </w:t>
      </w:r>
      <w:r>
        <w:rPr>
          <w:b/>
        </w:rPr>
        <w:t>主车制动后的跟驰响应（既有记录）</w:t>
      </w:r>
    </w:p>
    <w:p w14:paraId="01E41558" w14:textId="77777777" w:rsidR="00C65BD9" w:rsidRDefault="003C66B1">
      <w:pPr>
        <w:spacing w:after="100" w:line="264" w:lineRule="auto"/>
      </w:pPr>
      <w:r>
        <w:t>道路视图展示响应执行的实际状态；虚线包围框与轨迹为相同刺激下参考跟踪的关注车辆，下方曲线给出对应运动过程。主车采用脚本控制，该例未发生碰撞。</w:t>
      </w:r>
    </w:p>
    <w:p w14:paraId="26138A84" w14:textId="77777777" w:rsidR="00C65BD9" w:rsidRDefault="003C66B1">
      <w:pPr>
        <w:keepNext/>
        <w:spacing w:before="80" w:after="20"/>
        <w:jc w:val="center"/>
      </w:pPr>
      <w:r>
        <w:rPr>
          <w:noProof/>
        </w:rPr>
        <w:lastRenderedPageBreak/>
        <w:drawing>
          <wp:inline distT="0" distB="0" distL="0" distR="0" wp14:anchorId="239D6585" wp14:editId="684C5F9A">
            <wp:extent cx="4464000" cy="18868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8_maneuver_handover.png"/>
                    <pic:cNvPicPr/>
                  </pic:nvPicPr>
                  <pic:blipFill>
                    <a:blip r:embed="rId14"/>
                    <a:stretch>
                      <a:fillRect/>
                    </a:stretch>
                  </pic:blipFill>
                  <pic:spPr>
                    <a:xfrm>
                      <a:off x="0" y="0"/>
                      <a:ext cx="4464000" cy="1886871"/>
                    </a:xfrm>
                    <a:prstGeom prst="rect">
                      <a:avLst/>
                    </a:prstGeom>
                  </pic:spPr>
                </pic:pic>
              </a:graphicData>
            </a:graphic>
          </wp:inline>
        </w:drawing>
      </w:r>
    </w:p>
    <w:p w14:paraId="56B5B09D" w14:textId="77777777" w:rsidR="00C65BD9" w:rsidRDefault="003C66B1">
      <w:pPr>
        <w:keepNext/>
        <w:spacing w:after="40"/>
        <w:jc w:val="center"/>
      </w:pPr>
      <w:r>
        <w:rPr>
          <w:b/>
        </w:rPr>
        <w:t>图</w:t>
      </w:r>
      <w:r>
        <w:rPr>
          <w:b/>
        </w:rPr>
        <w:t xml:space="preserve">7  </w:t>
      </w:r>
      <w:r>
        <w:rPr>
          <w:b/>
        </w:rPr>
        <w:t>已开始换道的接管与机动承接（既有记录）</w:t>
      </w:r>
    </w:p>
    <w:p w14:paraId="13454C88" w14:textId="77777777" w:rsidR="00C65BD9" w:rsidRDefault="003C66B1">
      <w:pPr>
        <w:spacing w:after="100" w:line="264" w:lineRule="auto"/>
      </w:pPr>
      <w:r>
        <w:t>记录显示该车在</w:t>
      </w:r>
      <w:r>
        <w:t>2.60 s</w:t>
      </w:r>
      <w:r>
        <w:t>接管时换道已经开始，进度为</w:t>
      </w:r>
      <w:r>
        <w:t>0.854</w:t>
      </w:r>
      <w:r>
        <w:t>。图中横向位置、横向速度与偏航角速度用于说明已有机动如何继续执行；后续碰撞时刻作为同一回合的事件标记保留，不据此推断承接机制消除了碰撞。</w:t>
      </w:r>
    </w:p>
    <w:p w14:paraId="6495BA8C" w14:textId="77777777" w:rsidR="00C65BD9" w:rsidRDefault="003C66B1">
      <w:pPr>
        <w:pStyle w:val="21"/>
        <w:spacing w:before="100" w:after="50"/>
      </w:pPr>
      <w:r>
        <w:t xml:space="preserve">8.3 </w:t>
      </w:r>
      <w:r>
        <w:t>交互描述与执行开销</w:t>
      </w:r>
    </w:p>
    <w:p w14:paraId="5F226F17" w14:textId="77777777" w:rsidR="00C65BD9" w:rsidRDefault="003C66B1">
      <w:pPr>
        <w:spacing w:after="60" w:line="264" w:lineRule="auto"/>
        <w:ind w:firstLine="420"/>
      </w:pPr>
      <w:r>
        <w:t>图</w:t>
      </w:r>
      <w:r>
        <w:t>8</w:t>
      </w:r>
      <w:r>
        <w:t>依据既有开发搜索的</w:t>
      </w:r>
      <w:r>
        <w:t>5000</w:t>
      </w:r>
      <w:r>
        <w:t>条执行记录，按实例内容去重后展示关键车辆相对状态的交互类别分布。前方跟踪与后方接管占多数，邻侧交互与驶出道路较少。这些类别说明已执行样本在交通描述上的分布；是否属于同一失效域，仍由第</w:t>
      </w:r>
      <w:r>
        <w:t>5.6</w:t>
      </w:r>
      <w:r>
        <w:t>节的实际连通性证据确定。</w:t>
      </w:r>
    </w:p>
    <w:p w14:paraId="470CA437" w14:textId="77777777" w:rsidR="00C65BD9" w:rsidRDefault="003C66B1">
      <w:pPr>
        <w:spacing w:after="60" w:line="264" w:lineRule="auto"/>
        <w:ind w:firstLine="420"/>
      </w:pPr>
      <w:r>
        <w:t>图</w:t>
      </w:r>
      <w:r>
        <w:t>9</w:t>
      </w:r>
      <w:r>
        <w:t>给出最多七个参与实体时的</w:t>
      </w:r>
      <w:r>
        <w:t>CPU</w:t>
      </w:r>
      <w:r>
        <w:t>计时。各配置执行</w:t>
      </w:r>
      <w:r>
        <w:t>2831</w:t>
      </w:r>
      <w:r>
        <w:t>个物理步，合计</w:t>
      </w:r>
      <w:r>
        <w:t>8493</w:t>
      </w:r>
      <w:r>
        <w:t>步；世界更新耗时的</w:t>
      </w:r>
      <w:r>
        <w:t>99%</w:t>
      </w:r>
      <w:r>
        <w:t>分位为</w:t>
      </w:r>
      <w:r>
        <w:t>8.59 ms</w:t>
      </w:r>
      <w:r>
        <w:t>，最大值</w:t>
      </w:r>
      <w:r>
        <w:t>10.85 ms</w:t>
      </w:r>
      <w:r>
        <w:t>，均未超过</w:t>
      </w:r>
      <w:r>
        <w:t>40 ms</w:t>
      </w:r>
      <w:r>
        <w:t>物理步长，且不含被测策略计算。该记录用于说明单步执行开销与预算记账范围；完整搜索成本还包括被测策略、行为生成和诊断检查，应按实际调用及物理步数统计。</w:t>
      </w:r>
    </w:p>
    <w:p w14:paraId="4B04AA2C" w14:textId="77777777" w:rsidR="00C65BD9" w:rsidRDefault="003C66B1">
      <w:pPr>
        <w:keepNext/>
        <w:spacing w:before="80" w:after="20"/>
        <w:jc w:val="center"/>
      </w:pPr>
      <w:r>
        <w:rPr>
          <w:noProof/>
        </w:rPr>
        <w:drawing>
          <wp:inline distT="0" distB="0" distL="0" distR="0" wp14:anchorId="54FC914D" wp14:editId="785F2890">
            <wp:extent cx="4464000" cy="17054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1_interaction_sources.png"/>
                    <pic:cNvPicPr/>
                  </pic:nvPicPr>
                  <pic:blipFill>
                    <a:blip r:embed="rId15"/>
                    <a:stretch>
                      <a:fillRect/>
                    </a:stretch>
                  </pic:blipFill>
                  <pic:spPr>
                    <a:xfrm>
                      <a:off x="0" y="0"/>
                      <a:ext cx="4464000" cy="1705490"/>
                    </a:xfrm>
                    <a:prstGeom prst="rect">
                      <a:avLst/>
                    </a:prstGeom>
                  </pic:spPr>
                </pic:pic>
              </a:graphicData>
            </a:graphic>
          </wp:inline>
        </w:drawing>
      </w:r>
    </w:p>
    <w:p w14:paraId="0D012BCF" w14:textId="77777777" w:rsidR="00C65BD9" w:rsidRDefault="003C66B1">
      <w:pPr>
        <w:keepNext/>
        <w:spacing w:after="40"/>
        <w:jc w:val="center"/>
      </w:pPr>
      <w:r>
        <w:rPr>
          <w:b/>
        </w:rPr>
        <w:t>图</w:t>
      </w:r>
      <w:r>
        <w:rPr>
          <w:b/>
        </w:rPr>
        <w:t xml:space="preserve">8  </w:t>
      </w:r>
      <w:r>
        <w:rPr>
          <w:b/>
        </w:rPr>
        <w:t>交互类别计数与来源分布（既有记录）</w:t>
      </w:r>
    </w:p>
    <w:p w14:paraId="00FA652B" w14:textId="77777777" w:rsidR="00C65BD9" w:rsidRDefault="003C66B1">
      <w:pPr>
        <w:spacing w:after="100" w:line="264" w:lineRule="auto"/>
      </w:pPr>
      <w:r>
        <w:t>左图为按实例内容去重后的交互类别计数，右图为实例数最多的</w:t>
      </w:r>
      <w:r>
        <w:t>12</w:t>
      </w:r>
      <w:r>
        <w:t>个来源在类别中的分布。该图提供交互描述与抽样谱系分布的既有记录；图</w:t>
      </w:r>
      <w:r>
        <w:t>4</w:t>
      </w:r>
      <w:r>
        <w:t>表示联合分配规则的数值示意，两图承担不同的说明任务。</w:t>
      </w:r>
    </w:p>
    <w:p w14:paraId="2107C23E" w14:textId="77777777" w:rsidR="00C65BD9" w:rsidRDefault="003C66B1">
      <w:pPr>
        <w:keepNext/>
        <w:spacing w:before="80" w:after="20"/>
        <w:jc w:val="center"/>
      </w:pPr>
      <w:r>
        <w:rPr>
          <w:noProof/>
        </w:rPr>
        <w:lastRenderedPageBreak/>
        <w:drawing>
          <wp:inline distT="0" distB="0" distL="0" distR="0" wp14:anchorId="75A4043C" wp14:editId="30436F9A">
            <wp:extent cx="4464000" cy="16722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4_runtime.png"/>
                    <pic:cNvPicPr/>
                  </pic:nvPicPr>
                  <pic:blipFill>
                    <a:blip r:embed="rId16"/>
                    <a:stretch>
                      <a:fillRect/>
                    </a:stretch>
                  </pic:blipFill>
                  <pic:spPr>
                    <a:xfrm>
                      <a:off x="0" y="0"/>
                      <a:ext cx="4464000" cy="1672264"/>
                    </a:xfrm>
                    <a:prstGeom prst="rect">
                      <a:avLst/>
                    </a:prstGeom>
                  </pic:spPr>
                </pic:pic>
              </a:graphicData>
            </a:graphic>
          </wp:inline>
        </w:drawing>
      </w:r>
    </w:p>
    <w:p w14:paraId="41B39107" w14:textId="77777777" w:rsidR="00C65BD9" w:rsidRDefault="003C66B1">
      <w:pPr>
        <w:keepNext/>
        <w:spacing w:after="40"/>
        <w:jc w:val="center"/>
      </w:pPr>
      <w:r>
        <w:rPr>
          <w:b/>
        </w:rPr>
        <w:t>图</w:t>
      </w:r>
      <w:r>
        <w:rPr>
          <w:b/>
        </w:rPr>
        <w:t xml:space="preserve">9  </w:t>
      </w:r>
      <w:r>
        <w:rPr>
          <w:b/>
        </w:rPr>
        <w:t>不同背景车辆数量下的执行耗时（既有记录）</w:t>
      </w:r>
    </w:p>
    <w:p w14:paraId="20CF89FB" w14:textId="77777777" w:rsidR="00C65BD9" w:rsidRDefault="003C66B1">
      <w:pPr>
        <w:spacing w:after="100" w:line="264" w:lineRule="auto"/>
      </w:pPr>
      <w:r>
        <w:t>分别绘制桥接与世界更新耗时分位统计，各配置</w:t>
      </w:r>
      <w:r>
        <w:t>2,831</w:t>
      </w:r>
      <w:r>
        <w:t>步；桥接计时包含于世界更新，不相加；不含被测策略计算，虚线为</w:t>
      </w:r>
      <w:r>
        <w:t>40 ms</w:t>
      </w:r>
      <w:r>
        <w:t>物理步长。</w:t>
      </w:r>
    </w:p>
    <w:p w14:paraId="54ED2877" w14:textId="77777777" w:rsidR="00C65BD9" w:rsidRDefault="003C66B1">
      <w:pPr>
        <w:pStyle w:val="21"/>
        <w:spacing w:before="100" w:after="50"/>
      </w:pPr>
      <w:r>
        <w:t xml:space="preserve">8.4 </w:t>
      </w:r>
      <w:r>
        <w:t>联合流程的对比验证方案</w:t>
      </w:r>
    </w:p>
    <w:p w14:paraId="2936459B" w14:textId="77777777" w:rsidR="00C65BD9" w:rsidRDefault="003C66B1">
      <w:pPr>
        <w:spacing w:after="60" w:line="264" w:lineRule="auto"/>
        <w:ind w:firstLine="420"/>
      </w:pPr>
      <w:r>
        <w:t>联合流程采用相同被测策略、事件池、执行配置和实际总预算进行对比。比较方案包括随机条件抽样、风险分层搜索，以及在同一分层框架下分别启用单组反馈、连通域代表或跨域来源限额的方案，最终与完整方法比较。逐项移除单组反馈、中点连通、跨域累计与联合提议归因隔离，其他条件保持一致；由此分别检验方向选择、失效过程覆盖、来源分散和归因一致性的作用。</w:t>
      </w:r>
    </w:p>
    <w:p w14:paraId="22192620" w14:textId="77777777" w:rsidR="00C65BD9" w:rsidRDefault="003C66B1">
      <w:pPr>
        <w:spacing w:after="60" w:line="264" w:lineRule="auto"/>
        <w:ind w:firstLine="420"/>
      </w:pPr>
      <w:r>
        <w:t>主要统计量为按实例内容去重的有效失效数、独立来源数、已确认失效域覆盖数、按式（</w:t>
      </w:r>
      <w:r>
        <w:t>14</w:t>
      </w:r>
      <w:r>
        <w:t>）计算的有效来源数、实际调用次数及物理步数。复现验证检查完整输入重放、策略随机实现与数组索引恢复；连通性验证重复核对相同中点输入的判定；额度验证记录不同来源上限与计划名额下的耗尽比例、新来源补充次数和名额缩减次数。采用分类器推荐目标域时另报验证集平衡准确率，不用预测标签增加已确认域数。上述为联合流程的验证方案，图</w:t>
      </w:r>
      <w:r>
        <w:t>5</w:t>
      </w:r>
      <w:r>
        <w:t>至图</w:t>
      </w:r>
      <w:r>
        <w:t>9</w:t>
      </w:r>
      <w:r>
        <w:t>为既有组件执行记录，图</w:t>
      </w:r>
      <w:r>
        <w:t>4</w:t>
      </w:r>
      <w:r>
        <w:t>为分配示意，均不作为完整联合流程已经获得比较增益的数值结论。</w:t>
      </w:r>
    </w:p>
    <w:p w14:paraId="39D852CC" w14:textId="77777777" w:rsidR="00C65BD9" w:rsidRDefault="003C66B1">
      <w:pPr>
        <w:pStyle w:val="1"/>
        <w:spacing w:before="160" w:after="50"/>
      </w:pPr>
      <w:r>
        <w:t xml:space="preserve">9 </w:t>
      </w:r>
      <w:r>
        <w:t>替代实施方式</w:t>
      </w:r>
    </w:p>
    <w:p w14:paraId="3AED264A" w14:textId="77777777" w:rsidR="00C65BD9" w:rsidRDefault="003C66B1">
      <w:pPr>
        <w:spacing w:after="60" w:line="264" w:lineRule="auto"/>
        <w:ind w:firstLine="420"/>
      </w:pPr>
      <w:r>
        <w:t>事件筛选可由极值尾部拟合替换为预设分位数或明确的关键事件条件；条件行为生成可由其他保持相同固定条件与参数组接口的概率模型实现，例如以变分自编码器或对抗生成网络生成参考结点，只要其基变量可按车辆与帧索引并被局部替换。参考适用性判断可采用纯几何预测、经验误差支持或经标定的交互刺激；响应控制可使用参数化驾驶模型、学习策略或二者组合。</w:t>
      </w:r>
    </w:p>
    <w:p w14:paraId="36E2B7FB" w14:textId="77777777" w:rsidR="00C65BD9" w:rsidRDefault="003C66B1">
      <w:pPr>
        <w:spacing w:after="60" w:line="264" w:lineRule="auto"/>
        <w:ind w:firstLine="420"/>
      </w:pPr>
      <w:r>
        <w:t>失效域判据可采用两端线性插值序列或固定次数中点递归细分，以实际执行的最低得分核对连通性；目标域推荐可使用核方法、近邻方法或距离阈值，成员确认仍保留执行证据。联合名额分配可用最大流或具有相同目标与约束的整数规划实现；来源上限可统一设置，也可按测试前确定的规则分别设置。</w:t>
      </w:r>
    </w:p>
    <w:p w14:paraId="32B8DC85" w14:textId="77777777" w:rsidR="00C65BD9" w:rsidRDefault="003C66B1">
      <w:pPr>
        <w:spacing w:after="60" w:line="264" w:lineRule="auto"/>
        <w:ind w:firstLine="420"/>
      </w:pPr>
      <w:r>
        <w:t>可选扩展至城市道路或其他交通参与者时，应补充对应的道路拓扑、可执行运动模型、事件筛选与交互判据，并保持固定条件、参数组替换、单块归因比较、连通性失效域判定与联合分配之间的关系。该扩展属于可选替代方案。</w:t>
      </w:r>
    </w:p>
    <w:p w14:paraId="78F0A6F7" w14:textId="77777777" w:rsidR="00C65BD9" w:rsidRDefault="003C66B1">
      <w:pPr>
        <w:pStyle w:val="1"/>
        <w:spacing w:before="160" w:after="50"/>
      </w:pPr>
      <w:r>
        <w:lastRenderedPageBreak/>
        <w:t xml:space="preserve">10 </w:t>
      </w:r>
      <w:r>
        <w:t>附图说明与参考文献</w:t>
      </w:r>
    </w:p>
    <w:p w14:paraId="43424AF7" w14:textId="77777777" w:rsidR="00C65BD9" w:rsidRDefault="003C66B1">
      <w:pPr>
        <w:spacing w:after="60" w:line="264" w:lineRule="auto"/>
        <w:ind w:firstLine="420"/>
      </w:pPr>
      <w:r>
        <w:t>图</w:t>
      </w:r>
      <w:r>
        <w:t>1</w:t>
      </w:r>
      <w:r>
        <w:t>说明总体流程，图</w:t>
      </w:r>
      <w:r>
        <w:t>2</w:t>
      </w:r>
      <w:r>
        <w:t>说明参考适用性判断与运动承接，图</w:t>
      </w:r>
      <w:r>
        <w:t>3</w:t>
      </w:r>
      <w:r>
        <w:t>说明单组配对反馈，图</w:t>
      </w:r>
      <w:r>
        <w:t>4</w:t>
      </w:r>
      <w:r>
        <w:t>说明已用额度为零时的联合名额分配。图</w:t>
      </w:r>
      <w:r>
        <w:t>5</w:t>
      </w:r>
      <w:r>
        <w:t>至图</w:t>
      </w:r>
      <w:r>
        <w:t>9</w:t>
      </w:r>
      <w:r>
        <w:t>分别展示自然事件、跟驰响应、机动承接、交互类别与来源分布以及执行耗时，均为既有实施材料。图</w:t>
      </w:r>
      <w:r>
        <w:t>1</w:t>
      </w:r>
      <w:r>
        <w:t>至图</w:t>
      </w:r>
      <w:r>
        <w:t>4</w:t>
      </w:r>
      <w:r>
        <w:t>用于说明方法关系，图</w:t>
      </w:r>
      <w:r>
        <w:t>4</w:t>
      </w:r>
      <w:r>
        <w:t>的数值为设计示意；正式附图可据此制作黑白线条图。</w:t>
      </w:r>
    </w:p>
    <w:p w14:paraId="6142BBAC" w14:textId="77777777" w:rsidR="00C65BD9" w:rsidRDefault="003C66B1">
      <w:pPr>
        <w:spacing w:after="60" w:line="264" w:lineRule="auto"/>
        <w:ind w:firstLine="420"/>
      </w:pPr>
      <w:r>
        <w:t>参考文献编号与第</w:t>
      </w:r>
      <w:r>
        <w:t>2</w:t>
      </w:r>
      <w:r>
        <w:t>节一致。本文沿用所列文献标识与技术概述；其公开时间与申请基准日的对应关系，以及与申请人其他申请的范围关系，由代理师结合实际文本核对。</w:t>
      </w:r>
    </w:p>
    <w:p w14:paraId="58269C6F" w14:textId="77777777" w:rsidR="00C65BD9" w:rsidRDefault="003C66B1">
      <w:pPr>
        <w:spacing w:after="30" w:line="235" w:lineRule="auto"/>
      </w:pPr>
      <w:r>
        <w:t>[1] Mendoza J P, Unnikrishnan R, Wahal S, Zhang L. Selectively intelligent actors in simulations. WO2025090341A1</w:t>
      </w:r>
      <w:r>
        <w:t>，</w:t>
      </w:r>
      <w:r>
        <w:t>2025-05-01.  https://patents.google.com/patent/WO2025090341A1/en</w:t>
      </w:r>
    </w:p>
    <w:p w14:paraId="5C4C3E31" w14:textId="77777777" w:rsidR="00C65BD9" w:rsidRDefault="003C66B1">
      <w:pPr>
        <w:spacing w:after="30" w:line="235" w:lineRule="auto"/>
      </w:pPr>
      <w:r>
        <w:t>[2] Suo S, Wong K, Xu J, et al. MixSim: A Hierarchical Framework for Mixed Reality Traffic Simulation. CVPR</w:t>
      </w:r>
      <w:r>
        <w:t>，</w:t>
      </w:r>
      <w:r>
        <w:t>2023.  https://waabi.ai/research/mixsim</w:t>
      </w:r>
    </w:p>
    <w:p w14:paraId="73FABEE8" w14:textId="77777777" w:rsidR="00C65BD9" w:rsidRDefault="003C66B1">
      <w:pPr>
        <w:spacing w:after="30" w:line="235" w:lineRule="auto"/>
      </w:pPr>
      <w:r>
        <w:t>[3] Lin H, Chen H, Wolff E. System and method of causal composition diffusion for closed loop traffic generation. US20260134173A1</w:t>
      </w:r>
      <w:r>
        <w:t>，</w:t>
      </w:r>
      <w:r>
        <w:t>2026-05-14.  https://patents.google.com/patent/US20260134173A1/en</w:t>
      </w:r>
    </w:p>
    <w:p w14:paraId="757AB3B4" w14:textId="77777777" w:rsidR="00C65BD9" w:rsidRDefault="003C66B1">
      <w:pPr>
        <w:spacing w:after="30" w:line="235" w:lineRule="auto"/>
      </w:pPr>
      <w:r>
        <w:t>[4] Lin H, Huang X, Phan-Minh T, et al. Causal Composition Diffusion Model for Closed-loop Traffic Generation. CVPR</w:t>
      </w:r>
      <w:r>
        <w:t>，</w:t>
      </w:r>
      <w:r>
        <w:t>2025</w:t>
      </w:r>
      <w:r>
        <w:t>；</w:t>
      </w:r>
      <w:r>
        <w:t>arXiv:2412.17920.  https://arxiv.org/html/2412.17920v3</w:t>
      </w:r>
    </w:p>
    <w:p w14:paraId="7F4CF01B" w14:textId="77777777" w:rsidR="00C65BD9" w:rsidRDefault="003C66B1">
      <w:pPr>
        <w:spacing w:after="30" w:line="235" w:lineRule="auto"/>
      </w:pPr>
      <w:r>
        <w:t>[5] Huang P, Ding W, Stoler B, et al. CaDRE: Controllable and Diverse Generation of Safety-Critical Driving Scenarios Using Real-World Trajectories. arXiv:2403.13208v2.  https://arxiv.org/html/2403.13208v2</w:t>
      </w:r>
    </w:p>
    <w:p w14:paraId="45A4356B" w14:textId="77777777" w:rsidR="00C65BD9" w:rsidRDefault="003C66B1">
      <w:pPr>
        <w:spacing w:after="30" w:line="235" w:lineRule="auto"/>
      </w:pPr>
      <w:r>
        <w:t>[6] Rempe D, Philion J, Guibas L, Fidler S, Litany O. Generating Useful Accident-Prone Driving Scenarios via a Learned Traffic Prior. CVPR</w:t>
      </w:r>
      <w:r>
        <w:t>，</w:t>
      </w:r>
      <w:r>
        <w:t>2022.  https://research.nvidia.com/labs/toronto-ai/STRIVE/</w:t>
      </w:r>
    </w:p>
    <w:p w14:paraId="47A21C38" w14:textId="77777777" w:rsidR="00C65BD9" w:rsidRDefault="003C66B1">
      <w:pPr>
        <w:spacing w:after="30" w:line="235" w:lineRule="auto"/>
      </w:pPr>
      <w:r>
        <w:t xml:space="preserve">[7] </w:t>
      </w:r>
      <w:r>
        <w:t>白先旭，李亲，李维汉，石琴．一种自动驾驶车辆在不同安全域的测试场景创建方法．</w:t>
      </w:r>
      <w:r>
        <w:t>CN116361175A</w:t>
      </w:r>
      <w:r>
        <w:t>，</w:t>
      </w:r>
      <w:r>
        <w:t>2023-06-30</w:t>
      </w:r>
      <w:r>
        <w:t>．</w:t>
      </w:r>
      <w:r>
        <w:t xml:space="preserve">  https://patents.google.com/patent/CN116361175A/zh</w:t>
      </w:r>
    </w:p>
    <w:p w14:paraId="31215BB9" w14:textId="77777777" w:rsidR="00C65BD9" w:rsidRDefault="003C66B1">
      <w:pPr>
        <w:spacing w:after="30" w:line="235" w:lineRule="auto"/>
      </w:pPr>
      <w:r>
        <w:t xml:space="preserve">[8] </w:t>
      </w:r>
      <w:r>
        <w:t>祝亚运，单文君，余福珍．基于混合专家模型的自动驾驶测试场景生成方法和系统．</w:t>
      </w:r>
      <w:r>
        <w:t>CN121743096A</w:t>
      </w:r>
      <w:r>
        <w:t>，</w:t>
      </w:r>
      <w:r>
        <w:t>2026-03-27</w:t>
      </w:r>
      <w:r>
        <w:t>．</w:t>
      </w:r>
      <w:r>
        <w:t xml:space="preserve">  https://patents.google.com/patent/CN121743096A/zh</w:t>
      </w:r>
    </w:p>
    <w:p w14:paraId="67C897B4" w14:textId="77777777" w:rsidR="00C65BD9" w:rsidRDefault="003C66B1">
      <w:pPr>
        <w:spacing w:after="30" w:line="235" w:lineRule="auto"/>
      </w:pPr>
      <w:r>
        <w:t>[9] Pathrudkar S, Bhaskaran S, Indla V S, et al. Realistic test scenario variation and test coverage generation for testing of autonomous vehicles. WO2025190506A2</w:t>
      </w:r>
      <w:r>
        <w:t>，</w:t>
      </w:r>
      <w:r>
        <w:t>2025-09-18.  https://patents.google.com/patent/WO2025190506A2/en</w:t>
      </w:r>
    </w:p>
    <w:p w14:paraId="1570C9E2" w14:textId="77777777" w:rsidR="00C65BD9" w:rsidRDefault="003C66B1">
      <w:pPr>
        <w:spacing w:after="30" w:line="235" w:lineRule="auto"/>
      </w:pPr>
      <w:r>
        <w:t>[10] Liang L, Cheng X, Chen T Y, Zheng X. From Particles to Perils: SVGD-Based Hazardous Scenario Generation for Autonomous Driving Systems Testing. PACMSE</w:t>
      </w:r>
      <w:r>
        <w:t>，</w:t>
      </w:r>
      <w:r>
        <w:t>2026</w:t>
      </w:r>
      <w:r>
        <w:t>；</w:t>
      </w:r>
      <w:r>
        <w:t>arXiv:2604.18918.  https://arxiv.org/html/2604.18918v1</w:t>
      </w:r>
    </w:p>
    <w:p w14:paraId="22FD8F63" w14:textId="77777777" w:rsidR="00C65BD9" w:rsidRDefault="003C66B1">
      <w:pPr>
        <w:spacing w:after="30" w:line="235" w:lineRule="auto"/>
      </w:pPr>
      <w:r>
        <w:t>[11] Krajewski R, Bock J, Kloeker L, Eckstein L. The highD Dataset: A Drone Dataset of Naturalistic Vehicle Trajectories on German Highways. ITSC</w:t>
      </w:r>
      <w:r>
        <w:t>，</w:t>
      </w:r>
      <w:r>
        <w:t>2018</w:t>
      </w:r>
      <w:r>
        <w:t>：</w:t>
      </w:r>
      <w:r>
        <w:t>2118</w:t>
      </w:r>
      <w:r>
        <w:t>至</w:t>
      </w:r>
      <w:r>
        <w:t>2125.  https://arxiv.org/abs/1810.05642</w:t>
      </w:r>
    </w:p>
    <w:sectPr w:rsidR="00C65BD9" w:rsidSect="00034616">
      <w:footerReference w:type="default" r:id="rId17"/>
      <w:pgSz w:w="11906" w:h="16838"/>
      <w:pgMar w:top="1134" w:right="1361" w:bottom="107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5C7D9" w14:textId="77777777" w:rsidR="00F555AD" w:rsidRDefault="00F555AD">
      <w:pPr>
        <w:spacing w:after="0" w:line="240" w:lineRule="auto"/>
      </w:pPr>
      <w:r>
        <w:separator/>
      </w:r>
    </w:p>
  </w:endnote>
  <w:endnote w:type="continuationSeparator" w:id="0">
    <w:p w14:paraId="65C30EBE" w14:textId="77777777" w:rsidR="00F555AD" w:rsidRDefault="00F555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3B91E" w14:textId="77777777" w:rsidR="00C65BD9" w:rsidRDefault="003C66B1">
    <w:pPr>
      <w:pStyle w:val="a7"/>
      <w:jc w:val="center"/>
    </w:pPr>
    <w:r>
      <w:t xml:space="preserve"> </w:t>
    </w:r>
    <w:r>
      <w:fldChar w:fldCharType="begin"/>
    </w:r>
    <w:r>
      <w:instrText>PAGE</w:instrText>
    </w:r>
    <w:r>
      <w:fldChar w:fldCharType="separate"/>
    </w:r>
    <w:r w:rsidR="0015030A">
      <w:rPr>
        <w:noProof/>
      </w:rP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8078C" w14:textId="77777777" w:rsidR="00F555AD" w:rsidRDefault="00F555AD">
      <w:pPr>
        <w:spacing w:after="0" w:line="240" w:lineRule="auto"/>
      </w:pPr>
      <w:r>
        <w:separator/>
      </w:r>
    </w:p>
  </w:footnote>
  <w:footnote w:type="continuationSeparator" w:id="0">
    <w:p w14:paraId="3A8FEB77" w14:textId="77777777" w:rsidR="00F555AD" w:rsidRDefault="00F555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37470548">
    <w:abstractNumId w:val="8"/>
  </w:num>
  <w:num w:numId="2" w16cid:durableId="109518835">
    <w:abstractNumId w:val="6"/>
  </w:num>
  <w:num w:numId="3" w16cid:durableId="1912540253">
    <w:abstractNumId w:val="5"/>
  </w:num>
  <w:num w:numId="4" w16cid:durableId="873536251">
    <w:abstractNumId w:val="4"/>
  </w:num>
  <w:num w:numId="5" w16cid:durableId="2130279896">
    <w:abstractNumId w:val="7"/>
  </w:num>
  <w:num w:numId="6" w16cid:durableId="2100310">
    <w:abstractNumId w:val="3"/>
  </w:num>
  <w:num w:numId="7" w16cid:durableId="738479279">
    <w:abstractNumId w:val="2"/>
  </w:num>
  <w:num w:numId="8" w16cid:durableId="1124033791">
    <w:abstractNumId w:val="1"/>
  </w:num>
  <w:num w:numId="9" w16cid:durableId="917904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c2NzQwM7Y0MTcwMDdR0lEKTi0uzszPAykwrgUAeQvS1iwAAAA="/>
  </w:docVars>
  <w:rsids>
    <w:rsidRoot w:val="00B47730"/>
    <w:rsid w:val="00020041"/>
    <w:rsid w:val="00022729"/>
    <w:rsid w:val="00034616"/>
    <w:rsid w:val="0006063C"/>
    <w:rsid w:val="00090CFF"/>
    <w:rsid w:val="00130BA6"/>
    <w:rsid w:val="0015030A"/>
    <w:rsid w:val="0015074B"/>
    <w:rsid w:val="001B2901"/>
    <w:rsid w:val="001C4C3C"/>
    <w:rsid w:val="0025790A"/>
    <w:rsid w:val="0029639D"/>
    <w:rsid w:val="002D4ACD"/>
    <w:rsid w:val="00326F90"/>
    <w:rsid w:val="00332992"/>
    <w:rsid w:val="003461F9"/>
    <w:rsid w:val="003C66B1"/>
    <w:rsid w:val="003D03D4"/>
    <w:rsid w:val="003D425C"/>
    <w:rsid w:val="00416BEE"/>
    <w:rsid w:val="004803A1"/>
    <w:rsid w:val="004B3708"/>
    <w:rsid w:val="005354FE"/>
    <w:rsid w:val="005429C3"/>
    <w:rsid w:val="00546C41"/>
    <w:rsid w:val="00561CB7"/>
    <w:rsid w:val="00586AD8"/>
    <w:rsid w:val="005C4C76"/>
    <w:rsid w:val="005F1405"/>
    <w:rsid w:val="00621EAF"/>
    <w:rsid w:val="006D5CBF"/>
    <w:rsid w:val="007135A3"/>
    <w:rsid w:val="00774DC9"/>
    <w:rsid w:val="008447E3"/>
    <w:rsid w:val="00845F87"/>
    <w:rsid w:val="00874A2C"/>
    <w:rsid w:val="008C173D"/>
    <w:rsid w:val="009823EE"/>
    <w:rsid w:val="009F0F61"/>
    <w:rsid w:val="00A711DF"/>
    <w:rsid w:val="00AA1D8D"/>
    <w:rsid w:val="00B47730"/>
    <w:rsid w:val="00BA5B9E"/>
    <w:rsid w:val="00BF3542"/>
    <w:rsid w:val="00C4776A"/>
    <w:rsid w:val="00C65BD9"/>
    <w:rsid w:val="00CB0664"/>
    <w:rsid w:val="00CE1CF2"/>
    <w:rsid w:val="00D63391"/>
    <w:rsid w:val="00DC108C"/>
    <w:rsid w:val="00E213CE"/>
    <w:rsid w:val="00F250B2"/>
    <w:rsid w:val="00F555AD"/>
    <w:rsid w:val="00F93E5A"/>
    <w:rsid w:val="00FC04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AFD0E0"/>
  <w14:defaultImageDpi w14:val="300"/>
  <w15:docId w15:val="{B081C1C2-2FFF-4A07-BBAE-78306E6D2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4"/>
        <w:szCs w:val="24"/>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b/>
      <w:bCs/>
      <w:color w:val="000000"/>
      <w:sz w:val="28"/>
      <w:szCs w:val="28"/>
    </w:rPr>
  </w:style>
  <w:style w:type="paragraph" w:styleId="21">
    <w:name w:val="heading 2"/>
    <w:basedOn w:val="a1"/>
    <w:next w:val="a1"/>
    <w:link w:val="22"/>
    <w:uiPriority w:val="9"/>
    <w:unhideWhenUsed/>
    <w:qFormat/>
    <w:rsid w:val="00FC693F"/>
    <w:pPr>
      <w:keepNext/>
      <w:keepLines/>
      <w:spacing w:before="200" w:after="0"/>
      <w:outlineLvl w:val="1"/>
    </w:pPr>
    <w:rPr>
      <w:b/>
      <w:bCs/>
      <w:color w:val="000000"/>
      <w:sz w:val="28"/>
      <w:szCs w:val="28"/>
    </w:rPr>
  </w:style>
  <w:style w:type="paragraph" w:styleId="31">
    <w:name w:val="heading 3"/>
    <w:basedOn w:val="a1"/>
    <w:next w:val="a1"/>
    <w:link w:val="32"/>
    <w:uiPriority w:val="9"/>
    <w:unhideWhenUsed/>
    <w:qFormat/>
    <w:rsid w:val="00FC693F"/>
    <w:pPr>
      <w:keepNext/>
      <w:keepLines/>
      <w:spacing w:before="200" w:after="0"/>
      <w:outlineLvl w:val="2"/>
    </w:pPr>
    <w:rPr>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color w:val="4F81BD" w:themeColor="accent1"/>
    </w:rPr>
  </w:style>
  <w:style w:type="paragraph" w:styleId="9">
    <w:name w:val="heading 9"/>
    <w:basedOn w:val="a1"/>
    <w:next w:val="a1"/>
    <w:link w:val="90"/>
    <w:uiPriority w:val="9"/>
    <w:semiHidden/>
    <w:unhideWhenUsed/>
    <w:qFormat/>
    <w:rsid w:val="00FC693F"/>
    <w:pPr>
      <w:keepNext/>
      <w:keepLines/>
      <w:spacing w:before="200" w:after="0"/>
      <w:outlineLvl w:val="8"/>
    </w:pPr>
    <w:rPr>
      <w:i/>
      <w:iCs/>
      <w:color w:val="404040" w:themeColor="text1" w:themeTint="BF"/>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imes New Roman" w:eastAsia="宋体" w:hAnsi="Times New Roman"/>
      <w:b/>
      <w:bCs/>
      <w:color w:val="365F91" w:themeColor="accent1" w:themeShade="BF"/>
      <w:sz w:val="24"/>
      <w:szCs w:val="24"/>
    </w:rPr>
  </w:style>
  <w:style w:type="character" w:customStyle="1" w:styleId="22">
    <w:name w:val="标题 2 字符"/>
    <w:basedOn w:val="a2"/>
    <w:link w:val="21"/>
    <w:uiPriority w:val="9"/>
    <w:rsid w:val="00FC693F"/>
    <w:rPr>
      <w:rFonts w:ascii="Times New Roman" w:eastAsia="宋体" w:hAnsi="Times New Roman"/>
      <w:b/>
      <w:bCs/>
      <w:color w:val="4F81BD" w:themeColor="accent1"/>
      <w:sz w:val="24"/>
      <w:szCs w:val="24"/>
    </w:rPr>
  </w:style>
  <w:style w:type="character" w:customStyle="1" w:styleId="32">
    <w:name w:val="标题 3 字符"/>
    <w:basedOn w:val="a2"/>
    <w:link w:val="31"/>
    <w:uiPriority w:val="9"/>
    <w:rsid w:val="00FC693F"/>
    <w:rPr>
      <w:rFonts w:ascii="Times New Roman" w:eastAsia="宋体" w:hAnsi="Times New Roman"/>
      <w:b/>
      <w:bCs/>
      <w:color w:val="4F81BD" w:themeColor="accent1"/>
      <w:sz w:val="24"/>
      <w:szCs w:val="24"/>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color w:val="17365D" w:themeColor="text2" w:themeShade="BF"/>
      <w:spacing w:val="5"/>
      <w:kern w:val="28"/>
    </w:rPr>
  </w:style>
  <w:style w:type="character" w:customStyle="1" w:styleId="ab">
    <w:name w:val="标题 字符"/>
    <w:basedOn w:val="a2"/>
    <w:link w:val="aa"/>
    <w:uiPriority w:val="10"/>
    <w:rsid w:val="00FC693F"/>
    <w:rPr>
      <w:rFonts w:ascii="Times New Roman" w:eastAsia="宋体" w:hAnsi="Times New Roman"/>
      <w:color w:val="17365D" w:themeColor="text2" w:themeShade="BF"/>
      <w:spacing w:val="5"/>
      <w:kern w:val="28"/>
      <w:sz w:val="24"/>
      <w:szCs w:val="24"/>
    </w:rPr>
  </w:style>
  <w:style w:type="paragraph" w:styleId="ac">
    <w:name w:val="Subtitle"/>
    <w:basedOn w:val="a1"/>
    <w:next w:val="a1"/>
    <w:link w:val="ad"/>
    <w:uiPriority w:val="11"/>
    <w:qFormat/>
    <w:rsid w:val="00FC693F"/>
    <w:pPr>
      <w:numPr>
        <w:ilvl w:val="1"/>
      </w:numPr>
    </w:pPr>
    <w:rPr>
      <w:i/>
      <w:iCs/>
      <w:color w:val="4F81BD" w:themeColor="accent1"/>
      <w:spacing w:val="15"/>
    </w:rPr>
  </w:style>
  <w:style w:type="character" w:customStyle="1" w:styleId="ad">
    <w:name w:val="副标题 字符"/>
    <w:basedOn w:val="a2"/>
    <w:link w:val="ac"/>
    <w:uiPriority w:val="11"/>
    <w:rsid w:val="00FC693F"/>
    <w:rPr>
      <w:rFonts w:ascii="Times New Roman" w:eastAsia="宋体" w:hAnsi="Times New Roman"/>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style>
  <w:style w:type="character" w:customStyle="1" w:styleId="34">
    <w:name w:val="正文文本 3 字符"/>
    <w:basedOn w:val="a2"/>
    <w:link w:val="33"/>
    <w:uiPriority w:val="99"/>
    <w:rsid w:val="00AA1D8D"/>
    <w:rPr>
      <w:rFonts w:ascii="Times New Roman" w:eastAsia="宋体" w:hAnsi="Times New Roman"/>
      <w:sz w:val="24"/>
      <w:szCs w:val="24"/>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style>
  <w:style w:type="character" w:customStyle="1" w:styleId="af4">
    <w:name w:val="宏文本 字符"/>
    <w:basedOn w:val="a2"/>
    <w:link w:val="af3"/>
    <w:uiPriority w:val="99"/>
    <w:rsid w:val="0029639D"/>
    <w:rPr>
      <w:rFonts w:ascii="Times New Roman" w:eastAsia="宋体" w:hAnsi="Times New Roman"/>
      <w:sz w:val="24"/>
      <w:szCs w:val="24"/>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rFonts w:ascii="Times New Roman" w:eastAsia="宋体" w:hAnsi="Times New Roman"/>
      <w:i/>
      <w:iCs/>
      <w:color w:val="000000" w:themeColor="text1"/>
      <w:sz w:val="24"/>
      <w:szCs w:val="24"/>
    </w:rPr>
  </w:style>
  <w:style w:type="character" w:customStyle="1" w:styleId="40">
    <w:name w:val="标题 4 字符"/>
    <w:basedOn w:val="a2"/>
    <w:link w:val="4"/>
    <w:uiPriority w:val="9"/>
    <w:semiHidden/>
    <w:rsid w:val="00FC693F"/>
    <w:rPr>
      <w:rFonts w:ascii="Times New Roman" w:eastAsia="宋体" w:hAnsi="Times New Roman"/>
      <w:b/>
      <w:bCs/>
      <w:i/>
      <w:iCs/>
      <w:color w:val="4F81BD" w:themeColor="accent1"/>
      <w:sz w:val="24"/>
      <w:szCs w:val="24"/>
    </w:rPr>
  </w:style>
  <w:style w:type="character" w:customStyle="1" w:styleId="50">
    <w:name w:val="标题 5 字符"/>
    <w:basedOn w:val="a2"/>
    <w:link w:val="5"/>
    <w:uiPriority w:val="9"/>
    <w:semiHidden/>
    <w:rsid w:val="00FC693F"/>
    <w:rPr>
      <w:rFonts w:ascii="Times New Roman" w:eastAsia="宋体" w:hAnsi="Times New Roman"/>
      <w:color w:val="243F60" w:themeColor="accent1" w:themeShade="7F"/>
      <w:sz w:val="24"/>
      <w:szCs w:val="24"/>
    </w:rPr>
  </w:style>
  <w:style w:type="character" w:customStyle="1" w:styleId="60">
    <w:name w:val="标题 6 字符"/>
    <w:basedOn w:val="a2"/>
    <w:link w:val="6"/>
    <w:uiPriority w:val="9"/>
    <w:semiHidden/>
    <w:rsid w:val="00FC693F"/>
    <w:rPr>
      <w:rFonts w:ascii="Times New Roman" w:eastAsia="宋体" w:hAnsi="Times New Roman"/>
      <w:i/>
      <w:iCs/>
      <w:color w:val="243F60" w:themeColor="accent1" w:themeShade="7F"/>
      <w:sz w:val="24"/>
      <w:szCs w:val="24"/>
    </w:rPr>
  </w:style>
  <w:style w:type="character" w:customStyle="1" w:styleId="70">
    <w:name w:val="标题 7 字符"/>
    <w:basedOn w:val="a2"/>
    <w:link w:val="7"/>
    <w:uiPriority w:val="9"/>
    <w:semiHidden/>
    <w:rsid w:val="00FC693F"/>
    <w:rPr>
      <w:rFonts w:ascii="Times New Roman" w:eastAsia="宋体" w:hAnsi="Times New Roman"/>
      <w:i/>
      <w:iCs/>
      <w:color w:val="404040" w:themeColor="text1" w:themeTint="BF"/>
      <w:sz w:val="24"/>
      <w:szCs w:val="24"/>
    </w:rPr>
  </w:style>
  <w:style w:type="character" w:customStyle="1" w:styleId="80">
    <w:name w:val="标题 8 字符"/>
    <w:basedOn w:val="a2"/>
    <w:link w:val="8"/>
    <w:uiPriority w:val="9"/>
    <w:semiHidden/>
    <w:rsid w:val="00FC693F"/>
    <w:rPr>
      <w:rFonts w:ascii="Times New Roman" w:eastAsia="宋体" w:hAnsi="Times New Roman"/>
      <w:color w:val="4F81BD" w:themeColor="accent1"/>
      <w:sz w:val="24"/>
      <w:szCs w:val="24"/>
    </w:rPr>
  </w:style>
  <w:style w:type="character" w:customStyle="1" w:styleId="90">
    <w:name w:val="标题 9 字符"/>
    <w:basedOn w:val="a2"/>
    <w:link w:val="9"/>
    <w:uiPriority w:val="9"/>
    <w:semiHidden/>
    <w:rsid w:val="00FC693F"/>
    <w:rPr>
      <w:rFonts w:ascii="Times New Roman" w:eastAsia="宋体" w:hAnsi="Times New Roman"/>
      <w:i/>
      <w:iCs/>
      <w:color w:val="404040" w:themeColor="text1" w:themeTint="BF"/>
      <w:sz w:val="24"/>
      <w:szCs w:val="24"/>
    </w:rPr>
  </w:style>
  <w:style w:type="paragraph" w:styleId="af7">
    <w:name w:val="caption"/>
    <w:basedOn w:val="a1"/>
    <w:next w:val="a1"/>
    <w:uiPriority w:val="35"/>
    <w:semiHidden/>
    <w:unhideWhenUsed/>
    <w:qFormat/>
    <w:rsid w:val="00FC693F"/>
    <w:pPr>
      <w:spacing w:line="240" w:lineRule="auto"/>
    </w:pPr>
    <w:rPr>
      <w:b/>
      <w:bCs/>
      <w:color w:val="4F81BD" w:themeColor="accent1"/>
    </w:rPr>
  </w:style>
  <w:style w:type="character" w:styleId="af8">
    <w:name w:val="Strong"/>
    <w:basedOn w:val="a2"/>
    <w:uiPriority w:val="22"/>
    <w:qFormat/>
    <w:rsid w:val="00FC693F"/>
    <w:rPr>
      <w:rFonts w:ascii="Times New Roman" w:eastAsia="宋体" w:hAnsi="Times New Roman"/>
      <w:b/>
      <w:bCs/>
      <w:sz w:val="24"/>
      <w:szCs w:val="24"/>
    </w:rPr>
  </w:style>
  <w:style w:type="character" w:styleId="af9">
    <w:name w:val="Emphasis"/>
    <w:basedOn w:val="a2"/>
    <w:uiPriority w:val="20"/>
    <w:qFormat/>
    <w:rsid w:val="00FC693F"/>
    <w:rPr>
      <w:rFonts w:ascii="Times New Roman" w:eastAsia="宋体" w:hAnsi="Times New Roman"/>
      <w:i/>
      <w:iCs/>
      <w:sz w:val="24"/>
      <w:szCs w:val="24"/>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rFonts w:ascii="Times New Roman" w:eastAsia="宋体" w:hAnsi="Times New Roman"/>
      <w:b/>
      <w:bCs/>
      <w:i/>
      <w:iCs/>
      <w:color w:val="4F81BD" w:themeColor="accent1"/>
      <w:sz w:val="24"/>
      <w:szCs w:val="24"/>
    </w:rPr>
  </w:style>
  <w:style w:type="character" w:styleId="afc">
    <w:name w:val="Subtle Emphasis"/>
    <w:basedOn w:val="a2"/>
    <w:uiPriority w:val="19"/>
    <w:qFormat/>
    <w:rsid w:val="00FC693F"/>
    <w:rPr>
      <w:rFonts w:ascii="Times New Roman" w:eastAsia="宋体" w:hAnsi="Times New Roman"/>
      <w:i/>
      <w:iCs/>
      <w:color w:val="808080" w:themeColor="text1" w:themeTint="7F"/>
      <w:sz w:val="24"/>
      <w:szCs w:val="24"/>
    </w:rPr>
  </w:style>
  <w:style w:type="character" w:styleId="afd">
    <w:name w:val="Intense Emphasis"/>
    <w:basedOn w:val="a2"/>
    <w:uiPriority w:val="21"/>
    <w:qFormat/>
    <w:rsid w:val="00FC693F"/>
    <w:rPr>
      <w:rFonts w:ascii="Times New Roman" w:eastAsia="宋体" w:hAnsi="Times New Roman"/>
      <w:b/>
      <w:bCs/>
      <w:i/>
      <w:iCs/>
      <w:color w:val="4F81BD" w:themeColor="accent1"/>
      <w:sz w:val="24"/>
      <w:szCs w:val="24"/>
    </w:rPr>
  </w:style>
  <w:style w:type="character" w:styleId="afe">
    <w:name w:val="Subtle Reference"/>
    <w:basedOn w:val="a2"/>
    <w:uiPriority w:val="31"/>
    <w:qFormat/>
    <w:rsid w:val="00FC693F"/>
    <w:rPr>
      <w:rFonts w:ascii="Times New Roman" w:eastAsia="宋体" w:hAnsi="Times New Roman"/>
      <w:smallCaps/>
      <w:color w:val="C0504D" w:themeColor="accent2"/>
      <w:sz w:val="24"/>
      <w:szCs w:val="24"/>
      <w:u w:val="single"/>
    </w:rPr>
  </w:style>
  <w:style w:type="character" w:styleId="aff">
    <w:name w:val="Intense Reference"/>
    <w:basedOn w:val="a2"/>
    <w:uiPriority w:val="32"/>
    <w:qFormat/>
    <w:rsid w:val="00FC693F"/>
    <w:rPr>
      <w:rFonts w:ascii="Times New Roman" w:eastAsia="宋体" w:hAnsi="Times New Roman"/>
      <w:b/>
      <w:bCs/>
      <w:smallCaps/>
      <w:color w:val="C0504D" w:themeColor="accent2"/>
      <w:spacing w:val="5"/>
      <w:sz w:val="24"/>
      <w:szCs w:val="24"/>
      <w:u w:val="single"/>
    </w:rPr>
  </w:style>
  <w:style w:type="character" w:styleId="aff0">
    <w:name w:val="Book Title"/>
    <w:basedOn w:val="a2"/>
    <w:uiPriority w:val="33"/>
    <w:qFormat/>
    <w:rsid w:val="00FC693F"/>
    <w:rPr>
      <w:rFonts w:ascii="Times New Roman" w:eastAsia="宋体" w:hAnsi="Times New Roman"/>
      <w:b/>
      <w:bCs/>
      <w:smallCaps/>
      <w:spacing w:val="5"/>
      <w:sz w:val="24"/>
      <w:szCs w:val="24"/>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rFonts w:ascii="Times New Roman" w:eastAsia="宋体" w:hAnsi="Times New Roman"/>
        <w:b/>
        <w:bCs/>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eastAsia="宋体" w:hAnsi="Times New Roman"/>
        <w:b/>
        <w:bCs/>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rFonts w:ascii="Times New Roman" w:eastAsia="宋体" w:hAnsi="Times New Roman"/>
        <w:b/>
        <w:bCs/>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eastAsia="宋体" w:hAnsi="Times New Roman"/>
        <w:b/>
        <w:bCs/>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rFonts w:ascii="Times New Roman" w:eastAsia="宋体" w:hAnsi="Times New Roman"/>
        <w:b/>
        <w:bCs/>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eastAsia="宋体" w:hAnsi="Times New Roman"/>
        <w:b/>
        <w:bCs/>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rFonts w:ascii="Times New Roman" w:eastAsia="宋体" w:hAnsi="Times New Roman"/>
        <w:b/>
        <w:bCs/>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eastAsia="宋体" w:hAnsi="Times New Roman"/>
        <w:b/>
        <w:bCs/>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rFonts w:ascii="Times New Roman" w:eastAsia="宋体" w:hAnsi="Times New Roman"/>
        <w:b/>
        <w:bCs/>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eastAsia="宋体" w:hAnsi="Times New Roman"/>
        <w:b/>
        <w:bCs/>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rFonts w:ascii="Times New Roman" w:eastAsia="宋体" w:hAnsi="Times New Roman"/>
        <w:b/>
        <w:bCs/>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eastAsia="宋体" w:hAnsi="Times New Roman"/>
        <w:b/>
        <w:bCs/>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rFonts w:ascii="Times New Roman" w:eastAsia="宋体" w:hAnsi="Times New Roman"/>
        <w:b/>
        <w:bCs/>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eastAsia="宋体" w:hAnsi="Times New Roman"/>
        <w:b/>
        <w:bCs/>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Times New Roman" w:eastAsia="宋体" w:hAnsi="Times New Roman"/>
        <w:b/>
        <w:bCs/>
        <w:color w:val="FFFFFF" w:themeColor="background1"/>
        <w:sz w:val="24"/>
        <w:szCs w:val="24"/>
      </w:rPr>
      <w:tblPr/>
      <w:tcPr>
        <w:shd w:val="clear" w:color="auto" w:fill="000000" w:themeFill="text1"/>
      </w:tcPr>
    </w:tblStylePr>
    <w:tblStylePr w:type="lastRow">
      <w:pPr>
        <w:spacing w:before="0" w:after="0" w:line="240" w:lineRule="auto"/>
      </w:pPr>
      <w:rPr>
        <w:rFonts w:ascii="Times New Roman" w:eastAsia="宋体" w:hAnsi="Times New Roman"/>
        <w:b/>
        <w:bCs/>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Times New Roman" w:eastAsia="宋体" w:hAnsi="Times New Roman"/>
        <w:b/>
        <w:bCs/>
        <w:color w:val="FFFFFF" w:themeColor="background1"/>
        <w:sz w:val="24"/>
        <w:szCs w:val="24"/>
      </w:rPr>
      <w:tblPr/>
      <w:tcPr>
        <w:shd w:val="clear" w:color="auto" w:fill="4F81BD" w:themeFill="accent1"/>
      </w:tcPr>
    </w:tblStylePr>
    <w:tblStylePr w:type="lastRow">
      <w:pPr>
        <w:spacing w:before="0" w:after="0" w:line="240" w:lineRule="auto"/>
      </w:pPr>
      <w:rPr>
        <w:rFonts w:ascii="Times New Roman" w:eastAsia="宋体" w:hAnsi="Times New Roman"/>
        <w:b/>
        <w:bCs/>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Times New Roman" w:eastAsia="宋体" w:hAnsi="Times New Roman"/>
        <w:b/>
        <w:bCs/>
        <w:color w:val="FFFFFF" w:themeColor="background1"/>
        <w:sz w:val="24"/>
        <w:szCs w:val="24"/>
      </w:rPr>
      <w:tblPr/>
      <w:tcPr>
        <w:shd w:val="clear" w:color="auto" w:fill="C0504D" w:themeFill="accent2"/>
      </w:tcPr>
    </w:tblStylePr>
    <w:tblStylePr w:type="lastRow">
      <w:pPr>
        <w:spacing w:before="0" w:after="0" w:line="240" w:lineRule="auto"/>
      </w:pPr>
      <w:rPr>
        <w:rFonts w:ascii="Times New Roman" w:eastAsia="宋体" w:hAnsi="Times New Roman"/>
        <w:b/>
        <w:bCs/>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Times New Roman" w:eastAsia="宋体" w:hAnsi="Times New Roman"/>
        <w:b/>
        <w:bCs/>
        <w:color w:val="FFFFFF" w:themeColor="background1"/>
        <w:sz w:val="24"/>
        <w:szCs w:val="24"/>
      </w:rPr>
      <w:tblPr/>
      <w:tcPr>
        <w:shd w:val="clear" w:color="auto" w:fill="9BBB59" w:themeFill="accent3"/>
      </w:tcPr>
    </w:tblStylePr>
    <w:tblStylePr w:type="lastRow">
      <w:pPr>
        <w:spacing w:before="0" w:after="0" w:line="240" w:lineRule="auto"/>
      </w:pPr>
      <w:rPr>
        <w:rFonts w:ascii="Times New Roman" w:eastAsia="宋体" w:hAnsi="Times New Roman"/>
        <w:b/>
        <w:bCs/>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Times New Roman" w:eastAsia="宋体" w:hAnsi="Times New Roman"/>
        <w:b/>
        <w:bCs/>
        <w:color w:val="FFFFFF" w:themeColor="background1"/>
        <w:sz w:val="24"/>
        <w:szCs w:val="24"/>
      </w:rPr>
      <w:tblPr/>
      <w:tcPr>
        <w:shd w:val="clear" w:color="auto" w:fill="8064A2" w:themeFill="accent4"/>
      </w:tcPr>
    </w:tblStylePr>
    <w:tblStylePr w:type="lastRow">
      <w:pPr>
        <w:spacing w:before="0" w:after="0" w:line="240" w:lineRule="auto"/>
      </w:pPr>
      <w:rPr>
        <w:rFonts w:ascii="Times New Roman" w:eastAsia="宋体" w:hAnsi="Times New Roman"/>
        <w:b/>
        <w:bCs/>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Times New Roman" w:eastAsia="宋体" w:hAnsi="Times New Roman"/>
        <w:b/>
        <w:bCs/>
        <w:color w:val="FFFFFF" w:themeColor="background1"/>
        <w:sz w:val="24"/>
        <w:szCs w:val="24"/>
      </w:rPr>
      <w:tblPr/>
      <w:tcPr>
        <w:shd w:val="clear" w:color="auto" w:fill="4BACC6" w:themeFill="accent5"/>
      </w:tcPr>
    </w:tblStylePr>
    <w:tblStylePr w:type="lastRow">
      <w:pPr>
        <w:spacing w:before="0" w:after="0" w:line="240" w:lineRule="auto"/>
      </w:pPr>
      <w:rPr>
        <w:rFonts w:ascii="Times New Roman" w:eastAsia="宋体" w:hAnsi="Times New Roman"/>
        <w:b/>
        <w:bCs/>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Times New Roman" w:eastAsia="宋体" w:hAnsi="Times New Roman"/>
        <w:b/>
        <w:bCs/>
        <w:color w:val="FFFFFF" w:themeColor="background1"/>
        <w:sz w:val="24"/>
        <w:szCs w:val="24"/>
      </w:rPr>
      <w:tblPr/>
      <w:tcPr>
        <w:shd w:val="clear" w:color="auto" w:fill="F79646" w:themeFill="accent6"/>
      </w:tcPr>
    </w:tblStylePr>
    <w:tblStylePr w:type="lastRow">
      <w:pPr>
        <w:spacing w:before="0" w:after="0" w:line="240" w:lineRule="auto"/>
      </w:pPr>
      <w:rPr>
        <w:rFonts w:ascii="Times New Roman" w:eastAsia="宋体" w:hAnsi="Times New Roman"/>
        <w:b/>
        <w:bCs/>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宋体" w:hAnsi="Times New Roman"/>
        <w:b/>
        <w:bCs/>
        <w:sz w:val="24"/>
        <w:szCs w:val="24"/>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宋体" w:hAnsi="Times New Roman"/>
        <w:b/>
        <w:bCs/>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宋体" w:hAnsi="Times New Roman"/>
        <w:b/>
        <w:bCs/>
        <w:sz w:val="24"/>
        <w:szCs w:val="24"/>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宋体" w:hAnsi="Times New Roman"/>
        <w:b/>
        <w:bCs/>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宋体" w:hAnsi="Times New Roman"/>
        <w:b/>
        <w:bCs/>
        <w:sz w:val="24"/>
        <w:szCs w:val="24"/>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宋体" w:hAnsi="Times New Roman"/>
        <w:b/>
        <w:bCs/>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宋体" w:hAnsi="Times New Roman"/>
        <w:b/>
        <w:bCs/>
        <w:sz w:val="24"/>
        <w:szCs w:val="24"/>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宋体" w:hAnsi="Times New Roman"/>
        <w:b/>
        <w:bCs/>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宋体" w:hAnsi="Times New Roman"/>
        <w:b/>
        <w:bCs/>
        <w:sz w:val="24"/>
        <w:szCs w:val="24"/>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宋体" w:hAnsi="Times New Roman"/>
        <w:b/>
        <w:bCs/>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宋体" w:hAnsi="Times New Roman"/>
        <w:b/>
        <w:bCs/>
        <w:sz w:val="24"/>
        <w:szCs w:val="24"/>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宋体" w:hAnsi="Times New Roman"/>
        <w:b/>
        <w:bCs/>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宋体" w:hAnsi="Times New Roman"/>
        <w:b/>
        <w:bCs/>
        <w:sz w:val="24"/>
        <w:szCs w:val="24"/>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宋体" w:hAnsi="Times New Roman"/>
        <w:b/>
        <w:bCs/>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Times New Roman" w:eastAsia="宋体" w:hAnsi="Times New Roman"/>
        <w:b/>
        <w:bCs/>
        <w:color w:val="FFFFFF" w:themeColor="background1"/>
        <w:sz w:val="24"/>
        <w:szCs w:val="24"/>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eastAsia="宋体" w:hAnsi="Times New Roman"/>
        <w:b/>
        <w:bCs/>
        <w:sz w:val="24"/>
        <w:szCs w:val="24"/>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Times New Roman" w:eastAsia="宋体" w:hAnsi="Times New Roman"/>
        <w:b/>
        <w:bCs/>
        <w:color w:val="FFFFFF" w:themeColor="background1"/>
        <w:sz w:val="24"/>
        <w:szCs w:val="24"/>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eastAsia="宋体" w:hAnsi="Times New Roman"/>
        <w:b/>
        <w:bCs/>
        <w:sz w:val="24"/>
        <w:szCs w:val="24"/>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Times New Roman" w:eastAsia="宋体" w:hAnsi="Times New Roman"/>
        <w:b/>
        <w:bCs/>
        <w:color w:val="FFFFFF" w:themeColor="background1"/>
        <w:sz w:val="24"/>
        <w:szCs w:val="24"/>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eastAsia="宋体" w:hAnsi="Times New Roman"/>
        <w:b/>
        <w:bCs/>
        <w:sz w:val="24"/>
        <w:szCs w:val="24"/>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Times New Roman" w:eastAsia="宋体" w:hAnsi="Times New Roman"/>
        <w:b/>
        <w:bCs/>
        <w:color w:val="FFFFFF" w:themeColor="background1"/>
        <w:sz w:val="24"/>
        <w:szCs w:val="24"/>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eastAsia="宋体" w:hAnsi="Times New Roman"/>
        <w:b/>
        <w:bCs/>
        <w:sz w:val="24"/>
        <w:szCs w:val="24"/>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Times New Roman" w:eastAsia="宋体" w:hAnsi="Times New Roman"/>
        <w:b/>
        <w:bCs/>
        <w:color w:val="FFFFFF" w:themeColor="background1"/>
        <w:sz w:val="24"/>
        <w:szCs w:val="24"/>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eastAsia="宋体" w:hAnsi="Times New Roman"/>
        <w:b/>
        <w:bCs/>
        <w:sz w:val="24"/>
        <w:szCs w:val="24"/>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Times New Roman" w:eastAsia="宋体" w:hAnsi="Times New Roman"/>
        <w:b/>
        <w:bCs/>
        <w:color w:val="FFFFFF" w:themeColor="background1"/>
        <w:sz w:val="24"/>
        <w:szCs w:val="24"/>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eastAsia="宋体" w:hAnsi="Times New Roman"/>
        <w:b/>
        <w:bCs/>
        <w:sz w:val="24"/>
        <w:szCs w:val="24"/>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Times New Roman" w:eastAsia="宋体" w:hAnsi="Times New Roman"/>
        <w:b/>
        <w:bCs/>
        <w:color w:val="FFFFFF" w:themeColor="background1"/>
        <w:sz w:val="24"/>
        <w:szCs w:val="24"/>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eastAsia="宋体" w:hAnsi="Times New Roman"/>
        <w:b/>
        <w:bCs/>
        <w:sz w:val="24"/>
        <w:szCs w:val="24"/>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宋体" w:hAnsi="Times New Roman"/>
        <w:b/>
        <w:bCs/>
        <w:color w:val="FFFFFF" w:themeColor="background1"/>
        <w:sz w:val="24"/>
        <w:szCs w:val="24"/>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eastAsia="宋体" w:hAnsi="Times New Roman"/>
        <w:color w:val="auto"/>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宋体" w:hAnsi="Times New Roman"/>
        <w:b/>
        <w:bCs/>
        <w:color w:val="FFFFFF" w:themeColor="background1"/>
        <w:sz w:val="24"/>
        <w:szCs w:val="24"/>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eastAsia="宋体" w:hAnsi="Times New Roman"/>
        <w:b/>
        <w:bCs/>
        <w:color w:val="FFFFFF" w:themeColor="background1"/>
        <w:sz w:val="24"/>
        <w:szCs w:val="24"/>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宋体" w:hAnsi="Times New Roman"/>
        <w:color w:val="FFFFFF" w:themeColor="background1"/>
        <w:sz w:val="24"/>
        <w:szCs w:val="24"/>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宋体" w:hAnsi="Times New Roman"/>
        <w:b/>
        <w:bCs/>
        <w:color w:val="FFFFFF" w:themeColor="background1"/>
        <w:sz w:val="24"/>
        <w:szCs w:val="24"/>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eastAsia="宋体" w:hAnsi="Times New Roman"/>
        <w:color w:val="auto"/>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宋体" w:hAnsi="Times New Roman"/>
        <w:b/>
        <w:bCs/>
        <w:color w:val="FFFFFF" w:themeColor="background1"/>
        <w:sz w:val="24"/>
        <w:szCs w:val="24"/>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eastAsia="宋体" w:hAnsi="Times New Roman"/>
        <w:b/>
        <w:bCs/>
        <w:color w:val="FFFFFF" w:themeColor="background1"/>
        <w:sz w:val="24"/>
        <w:szCs w:val="24"/>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宋体" w:hAnsi="Times New Roman"/>
        <w:color w:val="FFFFFF" w:themeColor="background1"/>
        <w:sz w:val="24"/>
        <w:szCs w:val="24"/>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宋体" w:hAnsi="Times New Roman"/>
        <w:b/>
        <w:bCs/>
        <w:color w:val="FFFFFF" w:themeColor="background1"/>
        <w:sz w:val="24"/>
        <w:szCs w:val="24"/>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eastAsia="宋体" w:hAnsi="Times New Roman"/>
        <w:color w:val="auto"/>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宋体" w:hAnsi="Times New Roman"/>
        <w:b/>
        <w:bCs/>
        <w:color w:val="FFFFFF" w:themeColor="background1"/>
        <w:sz w:val="24"/>
        <w:szCs w:val="24"/>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eastAsia="宋体" w:hAnsi="Times New Roman"/>
        <w:b/>
        <w:bCs/>
        <w:color w:val="FFFFFF" w:themeColor="background1"/>
        <w:sz w:val="24"/>
        <w:szCs w:val="24"/>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宋体" w:hAnsi="Times New Roman"/>
        <w:color w:val="FFFFFF" w:themeColor="background1"/>
        <w:sz w:val="24"/>
        <w:szCs w:val="24"/>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宋体" w:hAnsi="Times New Roman"/>
        <w:b/>
        <w:bCs/>
        <w:color w:val="FFFFFF" w:themeColor="background1"/>
        <w:sz w:val="24"/>
        <w:szCs w:val="24"/>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eastAsia="宋体" w:hAnsi="Times New Roman"/>
        <w:color w:val="auto"/>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宋体" w:hAnsi="Times New Roman"/>
        <w:b/>
        <w:bCs/>
        <w:color w:val="FFFFFF" w:themeColor="background1"/>
        <w:sz w:val="24"/>
        <w:szCs w:val="24"/>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eastAsia="宋体" w:hAnsi="Times New Roman"/>
        <w:b/>
        <w:bCs/>
        <w:color w:val="FFFFFF" w:themeColor="background1"/>
        <w:sz w:val="24"/>
        <w:szCs w:val="24"/>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宋体" w:hAnsi="Times New Roman"/>
        <w:color w:val="FFFFFF" w:themeColor="background1"/>
        <w:sz w:val="24"/>
        <w:szCs w:val="24"/>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宋体" w:hAnsi="Times New Roman"/>
        <w:b/>
        <w:bCs/>
        <w:color w:val="FFFFFF" w:themeColor="background1"/>
        <w:sz w:val="24"/>
        <w:szCs w:val="24"/>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eastAsia="宋体" w:hAnsi="Times New Roman"/>
        <w:color w:val="auto"/>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宋体" w:hAnsi="Times New Roman"/>
        <w:b/>
        <w:bCs/>
        <w:color w:val="FFFFFF" w:themeColor="background1"/>
        <w:sz w:val="24"/>
        <w:szCs w:val="24"/>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eastAsia="宋体" w:hAnsi="Times New Roman"/>
        <w:b/>
        <w:bCs/>
        <w:color w:val="FFFFFF" w:themeColor="background1"/>
        <w:sz w:val="24"/>
        <w:szCs w:val="24"/>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宋体" w:hAnsi="Times New Roman"/>
        <w:color w:val="FFFFFF" w:themeColor="background1"/>
        <w:sz w:val="24"/>
        <w:szCs w:val="24"/>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宋体" w:hAnsi="Times New Roman"/>
        <w:b/>
        <w:bCs/>
        <w:color w:val="FFFFFF" w:themeColor="background1"/>
        <w:sz w:val="24"/>
        <w:szCs w:val="24"/>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eastAsia="宋体" w:hAnsi="Times New Roman"/>
        <w:color w:val="auto"/>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宋体" w:hAnsi="Times New Roman"/>
        <w:b/>
        <w:bCs/>
        <w:color w:val="FFFFFF" w:themeColor="background1"/>
        <w:sz w:val="24"/>
        <w:szCs w:val="24"/>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eastAsia="宋体" w:hAnsi="Times New Roman"/>
        <w:b/>
        <w:bCs/>
        <w:color w:val="FFFFFF" w:themeColor="background1"/>
        <w:sz w:val="24"/>
        <w:szCs w:val="24"/>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宋体" w:hAnsi="Times New Roman"/>
        <w:color w:val="FFFFFF" w:themeColor="background1"/>
        <w:sz w:val="24"/>
        <w:szCs w:val="24"/>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宋体" w:hAnsi="Times New Roman"/>
        <w:b/>
        <w:bCs/>
        <w:color w:val="FFFFFF" w:themeColor="background1"/>
        <w:sz w:val="24"/>
        <w:szCs w:val="24"/>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eastAsia="宋体" w:hAnsi="Times New Roman"/>
        <w:color w:val="auto"/>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宋体" w:hAnsi="Times New Roman"/>
        <w:b/>
        <w:bCs/>
        <w:color w:val="FFFFFF" w:themeColor="background1"/>
        <w:sz w:val="24"/>
        <w:szCs w:val="24"/>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eastAsia="宋体" w:hAnsi="Times New Roman"/>
        <w:b/>
        <w:bCs/>
        <w:color w:val="FFFFFF" w:themeColor="background1"/>
        <w:sz w:val="24"/>
        <w:szCs w:val="24"/>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宋体" w:hAnsi="Times New Roman"/>
        <w:color w:val="FFFFFF" w:themeColor="background1"/>
        <w:sz w:val="24"/>
        <w:szCs w:val="24"/>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宋体" w:hAnsi="Times New Roman"/>
        <w:sz w:val="24"/>
        <w:szCs w:val="24"/>
      </w:rPr>
      <w:tblPr/>
      <w:tcPr>
        <w:tcBorders>
          <w:top w:val="nil"/>
          <w:bottom w:val="single" w:sz="8" w:space="0" w:color="000000" w:themeColor="text1"/>
        </w:tcBorders>
      </w:tcPr>
    </w:tblStylePr>
    <w:tblStylePr w:type="lastRow">
      <w:rPr>
        <w:rFonts w:ascii="Times New Roman" w:eastAsia="宋体" w:hAnsi="Times New Roman"/>
        <w:b/>
        <w:bCs/>
        <w:color w:val="1F497D" w:themeColor="text2"/>
        <w:sz w:val="24"/>
        <w:szCs w:val="24"/>
      </w:rPr>
      <w:tblPr/>
      <w:tcPr>
        <w:tcBorders>
          <w:top w:val="single" w:sz="8" w:space="0" w:color="000000" w:themeColor="text1"/>
          <w:bottom w:val="single" w:sz="8" w:space="0" w:color="000000" w:themeColor="text1"/>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宋体" w:hAnsi="Times New Roman"/>
        <w:sz w:val="24"/>
        <w:szCs w:val="24"/>
      </w:rPr>
      <w:tblPr/>
      <w:tcPr>
        <w:tcBorders>
          <w:top w:val="nil"/>
          <w:bottom w:val="single" w:sz="8" w:space="0" w:color="4F81BD" w:themeColor="accent1"/>
        </w:tcBorders>
      </w:tcPr>
    </w:tblStylePr>
    <w:tblStylePr w:type="lastRow">
      <w:rPr>
        <w:rFonts w:ascii="Times New Roman" w:eastAsia="宋体" w:hAnsi="Times New Roman"/>
        <w:b/>
        <w:bCs/>
        <w:color w:val="1F497D" w:themeColor="text2"/>
        <w:sz w:val="24"/>
        <w:szCs w:val="24"/>
      </w:rPr>
      <w:tblPr/>
      <w:tcPr>
        <w:tcBorders>
          <w:top w:val="single" w:sz="8" w:space="0" w:color="4F81BD" w:themeColor="accent1"/>
          <w:bottom w:val="single" w:sz="8" w:space="0" w:color="4F81BD" w:themeColor="accent1"/>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宋体" w:hAnsi="Times New Roman"/>
        <w:sz w:val="24"/>
        <w:szCs w:val="24"/>
      </w:rPr>
      <w:tblPr/>
      <w:tcPr>
        <w:tcBorders>
          <w:top w:val="nil"/>
          <w:bottom w:val="single" w:sz="8" w:space="0" w:color="C0504D" w:themeColor="accent2"/>
        </w:tcBorders>
      </w:tcPr>
    </w:tblStylePr>
    <w:tblStylePr w:type="lastRow">
      <w:rPr>
        <w:rFonts w:ascii="Times New Roman" w:eastAsia="宋体" w:hAnsi="Times New Roman"/>
        <w:b/>
        <w:bCs/>
        <w:color w:val="1F497D" w:themeColor="text2"/>
        <w:sz w:val="24"/>
        <w:szCs w:val="24"/>
      </w:rPr>
      <w:tblPr/>
      <w:tcPr>
        <w:tcBorders>
          <w:top w:val="single" w:sz="8" w:space="0" w:color="C0504D" w:themeColor="accent2"/>
          <w:bottom w:val="single" w:sz="8" w:space="0" w:color="C0504D" w:themeColor="accent2"/>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宋体" w:hAnsi="Times New Roman"/>
        <w:sz w:val="24"/>
        <w:szCs w:val="24"/>
      </w:rPr>
      <w:tblPr/>
      <w:tcPr>
        <w:tcBorders>
          <w:top w:val="nil"/>
          <w:bottom w:val="single" w:sz="8" w:space="0" w:color="9BBB59" w:themeColor="accent3"/>
        </w:tcBorders>
      </w:tcPr>
    </w:tblStylePr>
    <w:tblStylePr w:type="lastRow">
      <w:rPr>
        <w:rFonts w:ascii="Times New Roman" w:eastAsia="宋体" w:hAnsi="Times New Roman"/>
        <w:b/>
        <w:bCs/>
        <w:color w:val="1F497D" w:themeColor="text2"/>
        <w:sz w:val="24"/>
        <w:szCs w:val="24"/>
      </w:rPr>
      <w:tblPr/>
      <w:tcPr>
        <w:tcBorders>
          <w:top w:val="single" w:sz="8" w:space="0" w:color="9BBB59" w:themeColor="accent3"/>
          <w:bottom w:val="single" w:sz="8" w:space="0" w:color="9BBB59" w:themeColor="accent3"/>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宋体" w:hAnsi="Times New Roman"/>
        <w:sz w:val="24"/>
        <w:szCs w:val="24"/>
      </w:rPr>
      <w:tblPr/>
      <w:tcPr>
        <w:tcBorders>
          <w:top w:val="nil"/>
          <w:bottom w:val="single" w:sz="8" w:space="0" w:color="8064A2" w:themeColor="accent4"/>
        </w:tcBorders>
      </w:tcPr>
    </w:tblStylePr>
    <w:tblStylePr w:type="lastRow">
      <w:rPr>
        <w:rFonts w:ascii="Times New Roman" w:eastAsia="宋体" w:hAnsi="Times New Roman"/>
        <w:b/>
        <w:bCs/>
        <w:color w:val="1F497D" w:themeColor="text2"/>
        <w:sz w:val="24"/>
        <w:szCs w:val="24"/>
      </w:rPr>
      <w:tblPr/>
      <w:tcPr>
        <w:tcBorders>
          <w:top w:val="single" w:sz="8" w:space="0" w:color="8064A2" w:themeColor="accent4"/>
          <w:bottom w:val="single" w:sz="8" w:space="0" w:color="8064A2" w:themeColor="accent4"/>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宋体" w:hAnsi="Times New Roman"/>
        <w:sz w:val="24"/>
        <w:szCs w:val="24"/>
      </w:rPr>
      <w:tblPr/>
      <w:tcPr>
        <w:tcBorders>
          <w:top w:val="nil"/>
          <w:bottom w:val="single" w:sz="8" w:space="0" w:color="4BACC6" w:themeColor="accent5"/>
        </w:tcBorders>
      </w:tcPr>
    </w:tblStylePr>
    <w:tblStylePr w:type="lastRow">
      <w:rPr>
        <w:rFonts w:ascii="Times New Roman" w:eastAsia="宋体" w:hAnsi="Times New Roman"/>
        <w:b/>
        <w:bCs/>
        <w:color w:val="1F497D" w:themeColor="text2"/>
        <w:sz w:val="24"/>
        <w:szCs w:val="24"/>
      </w:rPr>
      <w:tblPr/>
      <w:tcPr>
        <w:tcBorders>
          <w:top w:val="single" w:sz="8" w:space="0" w:color="4BACC6" w:themeColor="accent5"/>
          <w:bottom w:val="single" w:sz="8" w:space="0" w:color="4BACC6" w:themeColor="accent5"/>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宋体" w:hAnsi="Times New Roman"/>
        <w:sz w:val="24"/>
        <w:szCs w:val="24"/>
      </w:rPr>
      <w:tblPr/>
      <w:tcPr>
        <w:tcBorders>
          <w:top w:val="nil"/>
          <w:bottom w:val="single" w:sz="8" w:space="0" w:color="F79646" w:themeColor="accent6"/>
        </w:tcBorders>
      </w:tcPr>
    </w:tblStylePr>
    <w:tblStylePr w:type="lastRow">
      <w:rPr>
        <w:rFonts w:ascii="Times New Roman" w:eastAsia="宋体" w:hAnsi="Times New Roman"/>
        <w:b/>
        <w:bCs/>
        <w:color w:val="1F497D" w:themeColor="text2"/>
        <w:sz w:val="24"/>
        <w:szCs w:val="24"/>
      </w:rPr>
      <w:tblPr/>
      <w:tcPr>
        <w:tcBorders>
          <w:top w:val="single" w:sz="8" w:space="0" w:color="F79646" w:themeColor="accent6"/>
          <w:bottom w:val="single" w:sz="8" w:space="0" w:color="F79646" w:themeColor="accent6"/>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Times New Roman" w:eastAsia="宋体" w:hAnsi="Times New Roman"/>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rFonts w:ascii="Times New Roman" w:eastAsia="宋体" w:hAnsi="Times New Roman"/>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rFonts w:ascii="Times New Roman" w:eastAsia="宋体" w:hAnsi="Times New Roman"/>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rFonts w:ascii="Times New Roman" w:eastAsia="宋体" w:hAnsi="Times New Roman"/>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rFonts w:ascii="Times New Roman" w:eastAsia="宋体" w:hAnsi="Times New Roman"/>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rFonts w:ascii="Times New Roman" w:eastAsia="宋体" w:hAnsi="Times New Roman"/>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rFonts w:ascii="Times New Roman" w:eastAsia="宋体" w:hAnsi="Times New Roman"/>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Times New Roman" w:eastAsia="宋体" w:hAnsi="Times New Roman"/>
        <w:b/>
        <w:bCs/>
        <w:sz w:val="24"/>
        <w:szCs w:val="24"/>
      </w:rPr>
    </w:tblStylePr>
    <w:tblStylePr w:type="lastRow">
      <w:rPr>
        <w:rFonts w:ascii="Times New Roman" w:eastAsia="宋体" w:hAnsi="Times New Roman"/>
        <w:b/>
        <w:bCs/>
        <w:sz w:val="24"/>
        <w:szCs w:val="24"/>
      </w:rPr>
      <w:tblPr/>
      <w:tcPr>
        <w:tcBorders>
          <w:top w:val="single" w:sz="18" w:space="0" w:color="404040" w:themeColor="text1" w:themeTint="BF"/>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Times New Roman" w:eastAsia="宋体" w:hAnsi="Times New Roman"/>
        <w:b/>
        <w:bCs/>
        <w:sz w:val="24"/>
        <w:szCs w:val="24"/>
      </w:rPr>
    </w:tblStylePr>
    <w:tblStylePr w:type="lastRow">
      <w:rPr>
        <w:rFonts w:ascii="Times New Roman" w:eastAsia="宋体" w:hAnsi="Times New Roman"/>
        <w:b/>
        <w:bCs/>
        <w:sz w:val="24"/>
        <w:szCs w:val="24"/>
      </w:rPr>
      <w:tblPr/>
      <w:tcPr>
        <w:tcBorders>
          <w:top w:val="single" w:sz="18" w:space="0" w:color="7BA0CD" w:themeColor="accent1" w:themeTint="BF"/>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Times New Roman" w:eastAsia="宋体" w:hAnsi="Times New Roman"/>
        <w:b/>
        <w:bCs/>
        <w:sz w:val="24"/>
        <w:szCs w:val="24"/>
      </w:rPr>
    </w:tblStylePr>
    <w:tblStylePr w:type="lastRow">
      <w:rPr>
        <w:rFonts w:ascii="Times New Roman" w:eastAsia="宋体" w:hAnsi="Times New Roman"/>
        <w:b/>
        <w:bCs/>
        <w:sz w:val="24"/>
        <w:szCs w:val="24"/>
      </w:rPr>
      <w:tblPr/>
      <w:tcPr>
        <w:tcBorders>
          <w:top w:val="single" w:sz="18" w:space="0" w:color="CF7B79" w:themeColor="accent2" w:themeTint="BF"/>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Times New Roman" w:eastAsia="宋体" w:hAnsi="Times New Roman"/>
        <w:b/>
        <w:bCs/>
        <w:sz w:val="24"/>
        <w:szCs w:val="24"/>
      </w:rPr>
    </w:tblStylePr>
    <w:tblStylePr w:type="lastRow">
      <w:rPr>
        <w:rFonts w:ascii="Times New Roman" w:eastAsia="宋体" w:hAnsi="Times New Roman"/>
        <w:b/>
        <w:bCs/>
        <w:sz w:val="24"/>
        <w:szCs w:val="24"/>
      </w:rPr>
      <w:tblPr/>
      <w:tcPr>
        <w:tcBorders>
          <w:top w:val="single" w:sz="18" w:space="0" w:color="B3CC82" w:themeColor="accent3" w:themeTint="BF"/>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Times New Roman" w:eastAsia="宋体" w:hAnsi="Times New Roman"/>
        <w:b/>
        <w:bCs/>
        <w:sz w:val="24"/>
        <w:szCs w:val="24"/>
      </w:rPr>
    </w:tblStylePr>
    <w:tblStylePr w:type="lastRow">
      <w:rPr>
        <w:rFonts w:ascii="Times New Roman" w:eastAsia="宋体" w:hAnsi="Times New Roman"/>
        <w:b/>
        <w:bCs/>
        <w:sz w:val="24"/>
        <w:szCs w:val="24"/>
      </w:rPr>
      <w:tblPr/>
      <w:tcPr>
        <w:tcBorders>
          <w:top w:val="single" w:sz="18" w:space="0" w:color="9F8AB9" w:themeColor="accent4" w:themeTint="BF"/>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Times New Roman" w:eastAsia="宋体" w:hAnsi="Times New Roman"/>
        <w:b/>
        <w:bCs/>
        <w:sz w:val="24"/>
        <w:szCs w:val="24"/>
      </w:rPr>
    </w:tblStylePr>
    <w:tblStylePr w:type="lastRow">
      <w:rPr>
        <w:rFonts w:ascii="Times New Roman" w:eastAsia="宋体" w:hAnsi="Times New Roman"/>
        <w:b/>
        <w:bCs/>
        <w:sz w:val="24"/>
        <w:szCs w:val="24"/>
      </w:rPr>
      <w:tblPr/>
      <w:tcPr>
        <w:tcBorders>
          <w:top w:val="single" w:sz="18" w:space="0" w:color="78C0D4" w:themeColor="accent5" w:themeTint="BF"/>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Times New Roman" w:eastAsia="宋体" w:hAnsi="Times New Roman"/>
        <w:b/>
        <w:bCs/>
        <w:sz w:val="24"/>
        <w:szCs w:val="24"/>
      </w:rPr>
    </w:tblStylePr>
    <w:tblStylePr w:type="lastRow">
      <w:rPr>
        <w:rFonts w:ascii="Times New Roman" w:eastAsia="宋体" w:hAnsi="Times New Roman"/>
        <w:b/>
        <w:bCs/>
        <w:sz w:val="24"/>
        <w:szCs w:val="24"/>
      </w:rPr>
      <w:tblPr/>
      <w:tcPr>
        <w:tcBorders>
          <w:top w:val="single" w:sz="18" w:space="0" w:color="F9B074" w:themeColor="accent6" w:themeTint="BF"/>
        </w:tcBorders>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ascii="Times New Roman" w:eastAsia="宋体" w:hAnsi="Times New Roman"/>
        <w:b/>
        <w:bCs/>
        <w:color w:val="000000" w:themeColor="text1"/>
        <w:sz w:val="24"/>
        <w:szCs w:val="24"/>
      </w:rPr>
      <w:tblPr/>
      <w:tcPr>
        <w:shd w:val="clear" w:color="auto" w:fill="E6E6E6" w:themeFill="text1" w:themeFillTint="19"/>
      </w:tcPr>
    </w:tblStylePr>
    <w:tblStylePr w:type="lastRow">
      <w:rPr>
        <w:rFonts w:ascii="Times New Roman" w:eastAsia="宋体" w:hAnsi="Times New Roman"/>
        <w:b/>
        <w:bCs/>
        <w:color w:val="000000" w:themeColor="text1"/>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宋体" w:hAnsi="Times New Roman"/>
        <w:b/>
        <w:bCs/>
        <w:color w:val="000000" w:themeColor="text1"/>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宋体" w:hAnsi="Times New Roman"/>
        <w:b w:val="0"/>
        <w:bCs w:val="0"/>
        <w:color w:val="000000" w:themeColor="text1"/>
        <w:sz w:val="24"/>
        <w:szCs w:val="24"/>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rFonts w:ascii="Times New Roman" w:eastAsia="宋体" w:hAnsi="Times New Roman"/>
        <w:b/>
        <w:bCs/>
        <w:color w:val="000000" w:themeColor="text1"/>
        <w:sz w:val="24"/>
        <w:szCs w:val="24"/>
      </w:rPr>
      <w:tblPr/>
      <w:tcPr>
        <w:shd w:val="clear" w:color="auto" w:fill="EDF2F8" w:themeFill="accent1" w:themeFillTint="19"/>
      </w:tcPr>
    </w:tblStylePr>
    <w:tblStylePr w:type="lastRow">
      <w:rPr>
        <w:rFonts w:ascii="Times New Roman" w:eastAsia="宋体" w:hAnsi="Times New Roman"/>
        <w:b/>
        <w:bCs/>
        <w:color w:val="000000" w:themeColor="text1"/>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宋体" w:hAnsi="Times New Roman"/>
        <w:b/>
        <w:bCs/>
        <w:color w:val="000000" w:themeColor="text1"/>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宋体" w:hAnsi="Times New Roman"/>
        <w:b w:val="0"/>
        <w:bCs w:val="0"/>
        <w:color w:val="000000" w:themeColor="text1"/>
        <w:sz w:val="24"/>
        <w:szCs w:val="24"/>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rFonts w:ascii="Times New Roman" w:eastAsia="宋体" w:hAnsi="Times New Roman"/>
        <w:b/>
        <w:bCs/>
        <w:color w:val="000000" w:themeColor="text1"/>
        <w:sz w:val="24"/>
        <w:szCs w:val="24"/>
      </w:rPr>
      <w:tblPr/>
      <w:tcPr>
        <w:shd w:val="clear" w:color="auto" w:fill="F8EDED" w:themeFill="accent2" w:themeFillTint="19"/>
      </w:tcPr>
    </w:tblStylePr>
    <w:tblStylePr w:type="lastRow">
      <w:rPr>
        <w:rFonts w:ascii="Times New Roman" w:eastAsia="宋体" w:hAnsi="Times New Roman"/>
        <w:b/>
        <w:bCs/>
        <w:color w:val="000000" w:themeColor="text1"/>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宋体" w:hAnsi="Times New Roman"/>
        <w:b/>
        <w:bCs/>
        <w:color w:val="000000" w:themeColor="text1"/>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宋体" w:hAnsi="Times New Roman"/>
        <w:b w:val="0"/>
        <w:bCs w:val="0"/>
        <w:color w:val="000000" w:themeColor="text1"/>
        <w:sz w:val="24"/>
        <w:szCs w:val="24"/>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rFonts w:ascii="Times New Roman" w:eastAsia="宋体" w:hAnsi="Times New Roman"/>
        <w:b/>
        <w:bCs/>
        <w:color w:val="000000" w:themeColor="text1"/>
        <w:sz w:val="24"/>
        <w:szCs w:val="24"/>
      </w:rPr>
      <w:tblPr/>
      <w:tcPr>
        <w:shd w:val="clear" w:color="auto" w:fill="F5F8EE" w:themeFill="accent3" w:themeFillTint="19"/>
      </w:tcPr>
    </w:tblStylePr>
    <w:tblStylePr w:type="lastRow">
      <w:rPr>
        <w:rFonts w:ascii="Times New Roman" w:eastAsia="宋体" w:hAnsi="Times New Roman"/>
        <w:b/>
        <w:bCs/>
        <w:color w:val="000000" w:themeColor="text1"/>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宋体" w:hAnsi="Times New Roman"/>
        <w:b/>
        <w:bCs/>
        <w:color w:val="000000" w:themeColor="text1"/>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宋体" w:hAnsi="Times New Roman"/>
        <w:b w:val="0"/>
        <w:bCs w:val="0"/>
        <w:color w:val="000000" w:themeColor="text1"/>
        <w:sz w:val="24"/>
        <w:szCs w:val="24"/>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rFonts w:ascii="Times New Roman" w:eastAsia="宋体" w:hAnsi="Times New Roman"/>
        <w:b/>
        <w:bCs/>
        <w:color w:val="000000" w:themeColor="text1"/>
        <w:sz w:val="24"/>
        <w:szCs w:val="24"/>
      </w:rPr>
      <w:tblPr/>
      <w:tcPr>
        <w:shd w:val="clear" w:color="auto" w:fill="F2EFF6" w:themeFill="accent4" w:themeFillTint="19"/>
      </w:tcPr>
    </w:tblStylePr>
    <w:tblStylePr w:type="lastRow">
      <w:rPr>
        <w:rFonts w:ascii="Times New Roman" w:eastAsia="宋体" w:hAnsi="Times New Roman"/>
        <w:b/>
        <w:bCs/>
        <w:color w:val="000000" w:themeColor="text1"/>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宋体" w:hAnsi="Times New Roman"/>
        <w:b/>
        <w:bCs/>
        <w:color w:val="000000" w:themeColor="text1"/>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宋体" w:hAnsi="Times New Roman"/>
        <w:b w:val="0"/>
        <w:bCs w:val="0"/>
        <w:color w:val="000000" w:themeColor="text1"/>
        <w:sz w:val="24"/>
        <w:szCs w:val="24"/>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rFonts w:ascii="Times New Roman" w:eastAsia="宋体" w:hAnsi="Times New Roman"/>
        <w:b/>
        <w:bCs/>
        <w:color w:val="000000" w:themeColor="text1"/>
        <w:sz w:val="24"/>
        <w:szCs w:val="24"/>
      </w:rPr>
      <w:tblPr/>
      <w:tcPr>
        <w:shd w:val="clear" w:color="auto" w:fill="EDF6F9" w:themeFill="accent5" w:themeFillTint="19"/>
      </w:tcPr>
    </w:tblStylePr>
    <w:tblStylePr w:type="lastRow">
      <w:rPr>
        <w:rFonts w:ascii="Times New Roman" w:eastAsia="宋体" w:hAnsi="Times New Roman"/>
        <w:b/>
        <w:bCs/>
        <w:color w:val="000000" w:themeColor="text1"/>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宋体" w:hAnsi="Times New Roman"/>
        <w:b/>
        <w:bCs/>
        <w:color w:val="000000" w:themeColor="text1"/>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宋体" w:hAnsi="Times New Roman"/>
        <w:b w:val="0"/>
        <w:bCs w:val="0"/>
        <w:color w:val="000000" w:themeColor="text1"/>
        <w:sz w:val="24"/>
        <w:szCs w:val="24"/>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rFonts w:ascii="Times New Roman" w:eastAsia="宋体" w:hAnsi="Times New Roman"/>
        <w:b/>
        <w:bCs/>
        <w:color w:val="000000" w:themeColor="text1"/>
        <w:sz w:val="24"/>
        <w:szCs w:val="24"/>
      </w:rPr>
      <w:tblPr/>
      <w:tcPr>
        <w:shd w:val="clear" w:color="auto" w:fill="FEF4EC" w:themeFill="accent6" w:themeFillTint="19"/>
      </w:tcPr>
    </w:tblStylePr>
    <w:tblStylePr w:type="lastRow">
      <w:rPr>
        <w:rFonts w:ascii="Times New Roman" w:eastAsia="宋体" w:hAnsi="Times New Roman"/>
        <w:b/>
        <w:bCs/>
        <w:color w:val="000000" w:themeColor="text1"/>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宋体" w:hAnsi="Times New Roman"/>
        <w:b/>
        <w:bCs/>
        <w:color w:val="000000" w:themeColor="text1"/>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宋体" w:hAnsi="Times New Roman"/>
        <w:b w:val="0"/>
        <w:bCs w:val="0"/>
        <w:color w:val="000000" w:themeColor="text1"/>
        <w:sz w:val="24"/>
        <w:szCs w:val="24"/>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Times New Roman" w:eastAsia="宋体" w:hAnsi="Times New Roman"/>
        <w:b/>
        <w:bCs/>
        <w:i w:val="0"/>
        <w:iCs w:val="0"/>
        <w:color w:val="FFFFFF" w:themeColor="background1"/>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eastAsia="宋体" w:hAnsi="Times New Roman"/>
        <w:b/>
        <w:bCs/>
        <w:i w:val="0"/>
        <w:iCs w:val="0"/>
        <w:color w:val="FFFFFF" w:themeColor="background1"/>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eastAsia="宋体" w:hAnsi="Times New Roman"/>
        <w:b/>
        <w:bCs/>
        <w:i w:val="0"/>
        <w:iCs w:val="0"/>
        <w:color w:val="FFFFFF" w:themeColor="background1"/>
        <w:sz w:val="24"/>
        <w:szCs w:val="24"/>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eastAsia="宋体" w:hAnsi="Times New Roman"/>
        <w:b/>
        <w:bCs/>
        <w:i w:val="0"/>
        <w:iCs w:val="0"/>
        <w:color w:val="FFFFFF" w:themeColor="background1"/>
        <w:sz w:val="24"/>
        <w:szCs w:val="24"/>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Times New Roman" w:eastAsia="宋体" w:hAnsi="Times New Roman"/>
        <w:b/>
        <w:bCs/>
        <w:i w:val="0"/>
        <w:iCs w:val="0"/>
        <w:color w:val="FFFFFF" w:themeColor="background1"/>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eastAsia="宋体" w:hAnsi="Times New Roman"/>
        <w:b/>
        <w:bCs/>
        <w:i w:val="0"/>
        <w:iCs w:val="0"/>
        <w:color w:val="FFFFFF" w:themeColor="background1"/>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eastAsia="宋体" w:hAnsi="Times New Roman"/>
        <w:b/>
        <w:bCs/>
        <w:i w:val="0"/>
        <w:iCs w:val="0"/>
        <w:color w:val="FFFFFF" w:themeColor="background1"/>
        <w:sz w:val="24"/>
        <w:szCs w:val="24"/>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eastAsia="宋体" w:hAnsi="Times New Roman"/>
        <w:b/>
        <w:bCs/>
        <w:i w:val="0"/>
        <w:iCs w:val="0"/>
        <w:color w:val="FFFFFF" w:themeColor="background1"/>
        <w:sz w:val="24"/>
        <w:szCs w:val="24"/>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Times New Roman" w:eastAsia="宋体" w:hAnsi="Times New Roman"/>
        <w:b/>
        <w:bCs/>
        <w:i w:val="0"/>
        <w:iCs w:val="0"/>
        <w:color w:val="FFFFFF" w:themeColor="background1"/>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eastAsia="宋体" w:hAnsi="Times New Roman"/>
        <w:b/>
        <w:bCs/>
        <w:i w:val="0"/>
        <w:iCs w:val="0"/>
        <w:color w:val="FFFFFF" w:themeColor="background1"/>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eastAsia="宋体" w:hAnsi="Times New Roman"/>
        <w:b/>
        <w:bCs/>
        <w:i w:val="0"/>
        <w:iCs w:val="0"/>
        <w:color w:val="FFFFFF" w:themeColor="background1"/>
        <w:sz w:val="24"/>
        <w:szCs w:val="24"/>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eastAsia="宋体" w:hAnsi="Times New Roman"/>
        <w:b/>
        <w:bCs/>
        <w:i w:val="0"/>
        <w:iCs w:val="0"/>
        <w:color w:val="FFFFFF" w:themeColor="background1"/>
        <w:sz w:val="24"/>
        <w:szCs w:val="24"/>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Times New Roman" w:eastAsia="宋体" w:hAnsi="Times New Roman"/>
        <w:b/>
        <w:bCs/>
        <w:i w:val="0"/>
        <w:iCs w:val="0"/>
        <w:color w:val="FFFFFF" w:themeColor="background1"/>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eastAsia="宋体" w:hAnsi="Times New Roman"/>
        <w:b/>
        <w:bCs/>
        <w:i w:val="0"/>
        <w:iCs w:val="0"/>
        <w:color w:val="FFFFFF" w:themeColor="background1"/>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eastAsia="宋体" w:hAnsi="Times New Roman"/>
        <w:b/>
        <w:bCs/>
        <w:i w:val="0"/>
        <w:iCs w:val="0"/>
        <w:color w:val="FFFFFF" w:themeColor="background1"/>
        <w:sz w:val="24"/>
        <w:szCs w:val="24"/>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eastAsia="宋体" w:hAnsi="Times New Roman"/>
        <w:b/>
        <w:bCs/>
        <w:i w:val="0"/>
        <w:iCs w:val="0"/>
        <w:color w:val="FFFFFF" w:themeColor="background1"/>
        <w:sz w:val="24"/>
        <w:szCs w:val="24"/>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Times New Roman" w:eastAsia="宋体" w:hAnsi="Times New Roman"/>
        <w:b/>
        <w:bCs/>
        <w:i w:val="0"/>
        <w:iCs w:val="0"/>
        <w:color w:val="FFFFFF" w:themeColor="background1"/>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eastAsia="宋体" w:hAnsi="Times New Roman"/>
        <w:b/>
        <w:bCs/>
        <w:i w:val="0"/>
        <w:iCs w:val="0"/>
        <w:color w:val="FFFFFF" w:themeColor="background1"/>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eastAsia="宋体" w:hAnsi="Times New Roman"/>
        <w:b/>
        <w:bCs/>
        <w:i w:val="0"/>
        <w:iCs w:val="0"/>
        <w:color w:val="FFFFFF" w:themeColor="background1"/>
        <w:sz w:val="24"/>
        <w:szCs w:val="24"/>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eastAsia="宋体" w:hAnsi="Times New Roman"/>
        <w:b/>
        <w:bCs/>
        <w:i w:val="0"/>
        <w:iCs w:val="0"/>
        <w:color w:val="FFFFFF" w:themeColor="background1"/>
        <w:sz w:val="24"/>
        <w:szCs w:val="24"/>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Times New Roman" w:eastAsia="宋体" w:hAnsi="Times New Roman"/>
        <w:b/>
        <w:bCs/>
        <w:i w:val="0"/>
        <w:iCs w:val="0"/>
        <w:color w:val="FFFFFF" w:themeColor="background1"/>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eastAsia="宋体" w:hAnsi="Times New Roman"/>
        <w:b/>
        <w:bCs/>
        <w:i w:val="0"/>
        <w:iCs w:val="0"/>
        <w:color w:val="FFFFFF" w:themeColor="background1"/>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eastAsia="宋体" w:hAnsi="Times New Roman"/>
        <w:b/>
        <w:bCs/>
        <w:i w:val="0"/>
        <w:iCs w:val="0"/>
        <w:color w:val="FFFFFF" w:themeColor="background1"/>
        <w:sz w:val="24"/>
        <w:szCs w:val="24"/>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eastAsia="宋体" w:hAnsi="Times New Roman"/>
        <w:b/>
        <w:bCs/>
        <w:i w:val="0"/>
        <w:iCs w:val="0"/>
        <w:color w:val="FFFFFF" w:themeColor="background1"/>
        <w:sz w:val="24"/>
        <w:szCs w:val="24"/>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Times New Roman" w:eastAsia="宋体" w:hAnsi="Times New Roman"/>
        <w:b/>
        <w:bCs/>
        <w:i w:val="0"/>
        <w:iCs w:val="0"/>
        <w:color w:val="FFFFFF" w:themeColor="background1"/>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eastAsia="宋体" w:hAnsi="Times New Roman"/>
        <w:b/>
        <w:bCs/>
        <w:i w:val="0"/>
        <w:iCs w:val="0"/>
        <w:color w:val="FFFFFF" w:themeColor="background1"/>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eastAsia="宋体" w:hAnsi="Times New Roman"/>
        <w:b/>
        <w:bCs/>
        <w:i w:val="0"/>
        <w:iCs w:val="0"/>
        <w:color w:val="FFFFFF" w:themeColor="background1"/>
        <w:sz w:val="24"/>
        <w:szCs w:val="24"/>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eastAsia="宋体" w:hAnsi="Times New Roman"/>
        <w:b/>
        <w:bCs/>
        <w:i w:val="0"/>
        <w:iCs w:val="0"/>
        <w:color w:val="FFFFFF" w:themeColor="background1"/>
        <w:sz w:val="24"/>
        <w:szCs w:val="24"/>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rFonts w:ascii="Times New Roman" w:eastAsia="宋体" w:hAnsi="Times New Roman"/>
        <w:b/>
        <w:bCs/>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rFonts w:ascii="Times New Roman" w:eastAsia="宋体" w:hAnsi="Times New Roman"/>
        <w:b/>
        <w:bCs/>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rFonts w:ascii="Times New Roman" w:eastAsia="宋体" w:hAnsi="Times New Roman"/>
        <w:b/>
        <w:bCs/>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rFonts w:ascii="Times New Roman" w:eastAsia="宋体" w:hAnsi="Times New Roman"/>
        <w:b/>
        <w:bCs/>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rFonts w:ascii="Times New Roman" w:eastAsia="宋体" w:hAnsi="Times New Roman"/>
        <w:b/>
        <w:bCs/>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rFonts w:ascii="Times New Roman" w:eastAsia="宋体" w:hAnsi="Times New Roman"/>
        <w:b/>
        <w:bCs/>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rFonts w:ascii="Times New Roman" w:eastAsia="宋体" w:hAnsi="Times New Roman"/>
        <w:b/>
        <w:bCs/>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ascii="Times New Roman" w:eastAsia="宋体" w:hAnsi="Times New Roman"/>
        <w:b/>
        <w:bCs/>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eastAsia="宋体" w:hAnsi="Times New Roman"/>
        <w:b/>
        <w:bCs/>
        <w:color w:val="FFFFFF" w:themeColor="background1"/>
        <w:sz w:val="24"/>
        <w:szCs w:val="24"/>
      </w:rPr>
      <w:tblPr/>
      <w:tcPr>
        <w:tcBorders>
          <w:top w:val="single" w:sz="6" w:space="0" w:color="FFFFFF" w:themeColor="background1"/>
        </w:tcBorders>
        <w:shd w:val="clear" w:color="auto" w:fill="000000" w:themeFill="text1" w:themeFillShade="99"/>
      </w:tcPr>
    </w:tblStylePr>
    <w:tblStylePr w:type="firstCol">
      <w:rPr>
        <w:rFonts w:ascii="Times New Roman" w:eastAsia="宋体" w:hAnsi="Times New Roman"/>
        <w:color w:val="FFFFFF" w:themeColor="background1"/>
        <w:sz w:val="24"/>
        <w:szCs w:val="24"/>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eastAsia="宋体" w:hAnsi="Times New Roman"/>
        <w:color w:val="FFFFFF" w:themeColor="background1"/>
        <w:sz w:val="24"/>
        <w:szCs w:val="24"/>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eastAsia="宋体" w:hAnsi="Times New Roman"/>
        <w:color w:val="000000" w:themeColor="text1"/>
        <w:sz w:val="24"/>
        <w:szCs w:val="24"/>
      </w:rPr>
    </w:tblStylePr>
    <w:tblStylePr w:type="nwCell">
      <w:rPr>
        <w:rFonts w:ascii="Times New Roman" w:eastAsia="宋体" w:hAnsi="Times New Roman"/>
        <w:color w:val="000000" w:themeColor="text1"/>
        <w:sz w:val="24"/>
        <w:szCs w:val="24"/>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rFonts w:ascii="Times New Roman" w:eastAsia="宋体" w:hAnsi="Times New Roman"/>
        <w:b/>
        <w:bCs/>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eastAsia="宋体" w:hAnsi="Times New Roman"/>
        <w:b/>
        <w:bCs/>
        <w:color w:val="FFFFFF" w:themeColor="background1"/>
        <w:sz w:val="24"/>
        <w:szCs w:val="24"/>
      </w:rPr>
      <w:tblPr/>
      <w:tcPr>
        <w:tcBorders>
          <w:top w:val="single" w:sz="6" w:space="0" w:color="FFFFFF" w:themeColor="background1"/>
        </w:tcBorders>
        <w:shd w:val="clear" w:color="auto" w:fill="2C4C74" w:themeFill="accent1" w:themeFillShade="99"/>
      </w:tcPr>
    </w:tblStylePr>
    <w:tblStylePr w:type="firstCol">
      <w:rPr>
        <w:rFonts w:ascii="Times New Roman" w:eastAsia="宋体" w:hAnsi="Times New Roman"/>
        <w:color w:val="FFFFFF" w:themeColor="background1"/>
        <w:sz w:val="24"/>
        <w:szCs w:val="24"/>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eastAsia="宋体" w:hAnsi="Times New Roman"/>
        <w:color w:val="FFFFFF" w:themeColor="background1"/>
        <w:sz w:val="24"/>
        <w:szCs w:val="24"/>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eastAsia="宋体" w:hAnsi="Times New Roman"/>
        <w:color w:val="000000" w:themeColor="text1"/>
        <w:sz w:val="24"/>
        <w:szCs w:val="24"/>
      </w:rPr>
    </w:tblStylePr>
    <w:tblStylePr w:type="nwCell">
      <w:rPr>
        <w:rFonts w:ascii="Times New Roman" w:eastAsia="宋体" w:hAnsi="Times New Roman"/>
        <w:color w:val="000000" w:themeColor="text1"/>
        <w:sz w:val="24"/>
        <w:szCs w:val="24"/>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rFonts w:ascii="Times New Roman" w:eastAsia="宋体" w:hAnsi="Times New Roman"/>
        <w:b/>
        <w:bCs/>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eastAsia="宋体" w:hAnsi="Times New Roman"/>
        <w:b/>
        <w:bCs/>
        <w:color w:val="FFFFFF" w:themeColor="background1"/>
        <w:sz w:val="24"/>
        <w:szCs w:val="24"/>
      </w:rPr>
      <w:tblPr/>
      <w:tcPr>
        <w:tcBorders>
          <w:top w:val="single" w:sz="6" w:space="0" w:color="FFFFFF" w:themeColor="background1"/>
        </w:tcBorders>
        <w:shd w:val="clear" w:color="auto" w:fill="772C2A" w:themeFill="accent2" w:themeFillShade="99"/>
      </w:tcPr>
    </w:tblStylePr>
    <w:tblStylePr w:type="firstCol">
      <w:rPr>
        <w:rFonts w:ascii="Times New Roman" w:eastAsia="宋体" w:hAnsi="Times New Roman"/>
        <w:color w:val="FFFFFF" w:themeColor="background1"/>
        <w:sz w:val="24"/>
        <w:szCs w:val="24"/>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eastAsia="宋体" w:hAnsi="Times New Roman"/>
        <w:color w:val="FFFFFF" w:themeColor="background1"/>
        <w:sz w:val="24"/>
        <w:szCs w:val="24"/>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eastAsia="宋体" w:hAnsi="Times New Roman"/>
        <w:color w:val="000000" w:themeColor="text1"/>
        <w:sz w:val="24"/>
        <w:szCs w:val="24"/>
      </w:rPr>
    </w:tblStylePr>
    <w:tblStylePr w:type="nwCell">
      <w:rPr>
        <w:rFonts w:ascii="Times New Roman" w:eastAsia="宋体" w:hAnsi="Times New Roman"/>
        <w:color w:val="000000" w:themeColor="text1"/>
        <w:sz w:val="24"/>
        <w:szCs w:val="24"/>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rFonts w:ascii="Times New Roman" w:eastAsia="宋体" w:hAnsi="Times New Roman"/>
        <w:b/>
        <w:bCs/>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eastAsia="宋体" w:hAnsi="Times New Roman"/>
        <w:b/>
        <w:bCs/>
        <w:color w:val="FFFFFF" w:themeColor="background1"/>
        <w:sz w:val="24"/>
        <w:szCs w:val="24"/>
      </w:rPr>
      <w:tblPr/>
      <w:tcPr>
        <w:tcBorders>
          <w:top w:val="single" w:sz="6" w:space="0" w:color="FFFFFF" w:themeColor="background1"/>
        </w:tcBorders>
        <w:shd w:val="clear" w:color="auto" w:fill="5E7530" w:themeFill="accent3" w:themeFillShade="99"/>
      </w:tcPr>
    </w:tblStylePr>
    <w:tblStylePr w:type="firstCol">
      <w:rPr>
        <w:rFonts w:ascii="Times New Roman" w:eastAsia="宋体" w:hAnsi="Times New Roman"/>
        <w:color w:val="FFFFFF" w:themeColor="background1"/>
        <w:sz w:val="24"/>
        <w:szCs w:val="24"/>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eastAsia="宋体" w:hAnsi="Times New Roman"/>
        <w:color w:val="FFFFFF" w:themeColor="background1"/>
        <w:sz w:val="24"/>
        <w:szCs w:val="24"/>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rFonts w:ascii="Times New Roman" w:eastAsia="宋体" w:hAnsi="Times New Roman"/>
        <w:b/>
        <w:bCs/>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eastAsia="宋体" w:hAnsi="Times New Roman"/>
        <w:b/>
        <w:bCs/>
        <w:color w:val="FFFFFF" w:themeColor="background1"/>
        <w:sz w:val="24"/>
        <w:szCs w:val="24"/>
      </w:rPr>
      <w:tblPr/>
      <w:tcPr>
        <w:tcBorders>
          <w:top w:val="single" w:sz="6" w:space="0" w:color="FFFFFF" w:themeColor="background1"/>
        </w:tcBorders>
        <w:shd w:val="clear" w:color="auto" w:fill="4C3B62" w:themeFill="accent4" w:themeFillShade="99"/>
      </w:tcPr>
    </w:tblStylePr>
    <w:tblStylePr w:type="firstCol">
      <w:rPr>
        <w:rFonts w:ascii="Times New Roman" w:eastAsia="宋体" w:hAnsi="Times New Roman"/>
        <w:color w:val="FFFFFF" w:themeColor="background1"/>
        <w:sz w:val="24"/>
        <w:szCs w:val="24"/>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eastAsia="宋体" w:hAnsi="Times New Roman"/>
        <w:color w:val="FFFFFF" w:themeColor="background1"/>
        <w:sz w:val="24"/>
        <w:szCs w:val="24"/>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eastAsia="宋体" w:hAnsi="Times New Roman"/>
        <w:color w:val="000000" w:themeColor="text1"/>
        <w:sz w:val="24"/>
        <w:szCs w:val="24"/>
      </w:rPr>
    </w:tblStylePr>
    <w:tblStylePr w:type="nwCell">
      <w:rPr>
        <w:rFonts w:ascii="Times New Roman" w:eastAsia="宋体" w:hAnsi="Times New Roman"/>
        <w:color w:val="000000" w:themeColor="text1"/>
        <w:sz w:val="24"/>
        <w:szCs w:val="24"/>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rFonts w:ascii="Times New Roman" w:eastAsia="宋体" w:hAnsi="Times New Roman"/>
        <w:b/>
        <w:bCs/>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eastAsia="宋体" w:hAnsi="Times New Roman"/>
        <w:b/>
        <w:bCs/>
        <w:color w:val="FFFFFF" w:themeColor="background1"/>
        <w:sz w:val="24"/>
        <w:szCs w:val="24"/>
      </w:rPr>
      <w:tblPr/>
      <w:tcPr>
        <w:tcBorders>
          <w:top w:val="single" w:sz="6" w:space="0" w:color="FFFFFF" w:themeColor="background1"/>
        </w:tcBorders>
        <w:shd w:val="clear" w:color="auto" w:fill="276A7C" w:themeFill="accent5" w:themeFillShade="99"/>
      </w:tcPr>
    </w:tblStylePr>
    <w:tblStylePr w:type="firstCol">
      <w:rPr>
        <w:rFonts w:ascii="Times New Roman" w:eastAsia="宋体" w:hAnsi="Times New Roman"/>
        <w:color w:val="FFFFFF" w:themeColor="background1"/>
        <w:sz w:val="24"/>
        <w:szCs w:val="24"/>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eastAsia="宋体" w:hAnsi="Times New Roman"/>
        <w:color w:val="FFFFFF" w:themeColor="background1"/>
        <w:sz w:val="24"/>
        <w:szCs w:val="24"/>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eastAsia="宋体" w:hAnsi="Times New Roman"/>
        <w:color w:val="000000" w:themeColor="text1"/>
        <w:sz w:val="24"/>
        <w:szCs w:val="24"/>
      </w:rPr>
    </w:tblStylePr>
    <w:tblStylePr w:type="nwCell">
      <w:rPr>
        <w:rFonts w:ascii="Times New Roman" w:eastAsia="宋体" w:hAnsi="Times New Roman"/>
        <w:color w:val="000000" w:themeColor="text1"/>
        <w:sz w:val="24"/>
        <w:szCs w:val="24"/>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rFonts w:ascii="Times New Roman" w:eastAsia="宋体" w:hAnsi="Times New Roman"/>
        <w:b/>
        <w:bCs/>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eastAsia="宋体" w:hAnsi="Times New Roman"/>
        <w:b/>
        <w:bCs/>
        <w:color w:val="FFFFFF" w:themeColor="background1"/>
        <w:sz w:val="24"/>
        <w:szCs w:val="24"/>
      </w:rPr>
      <w:tblPr/>
      <w:tcPr>
        <w:tcBorders>
          <w:top w:val="single" w:sz="6" w:space="0" w:color="FFFFFF" w:themeColor="background1"/>
        </w:tcBorders>
        <w:shd w:val="clear" w:color="auto" w:fill="B65608" w:themeFill="accent6" w:themeFillShade="99"/>
      </w:tcPr>
    </w:tblStylePr>
    <w:tblStylePr w:type="firstCol">
      <w:rPr>
        <w:rFonts w:ascii="Times New Roman" w:eastAsia="宋体" w:hAnsi="Times New Roman"/>
        <w:color w:val="FFFFFF" w:themeColor="background1"/>
        <w:sz w:val="24"/>
        <w:szCs w:val="24"/>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eastAsia="宋体" w:hAnsi="Times New Roman"/>
        <w:color w:val="FFFFFF" w:themeColor="background1"/>
        <w:sz w:val="24"/>
        <w:szCs w:val="24"/>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eastAsia="宋体" w:hAnsi="Times New Roman"/>
        <w:color w:val="000000" w:themeColor="text1"/>
        <w:sz w:val="24"/>
        <w:szCs w:val="24"/>
      </w:rPr>
    </w:tblStylePr>
    <w:tblStylePr w:type="nwCell">
      <w:rPr>
        <w:rFonts w:ascii="Times New Roman" w:eastAsia="宋体" w:hAnsi="Times New Roman"/>
        <w:color w:val="000000" w:themeColor="text1"/>
        <w:sz w:val="24"/>
        <w:szCs w:val="24"/>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rFonts w:ascii="Times New Roman" w:eastAsia="宋体" w:hAnsi="Times New Roman"/>
        <w:b/>
        <w:bCs/>
        <w:color w:val="FFFFFF" w:themeColor="background1"/>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eastAsia="宋体" w:hAnsi="Times New Roman"/>
        <w:b/>
        <w:bCs/>
        <w:color w:val="9E3A38" w:themeColor="accent2" w:themeShade="CC"/>
        <w:sz w:val="24"/>
        <w:szCs w:val="24"/>
      </w:rPr>
      <w:tblPr/>
      <w:tcPr>
        <w:tcBorders>
          <w:top w:val="single" w:sz="12" w:space="0" w:color="000000" w:themeColor="text1"/>
        </w:tcBorders>
        <w:shd w:val="clear" w:color="auto" w:fill="FFFFFF" w:themeFill="background1"/>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rFonts w:ascii="Times New Roman" w:eastAsia="宋体" w:hAnsi="Times New Roman"/>
        <w:b/>
        <w:bCs/>
        <w:color w:val="FFFFFF" w:themeColor="background1"/>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eastAsia="宋体" w:hAnsi="Times New Roman"/>
        <w:b/>
        <w:bCs/>
        <w:color w:val="9E3A38" w:themeColor="accent2" w:themeShade="CC"/>
        <w:sz w:val="24"/>
        <w:szCs w:val="24"/>
      </w:rPr>
      <w:tblPr/>
      <w:tcPr>
        <w:tcBorders>
          <w:top w:val="single" w:sz="12" w:space="0" w:color="000000" w:themeColor="text1"/>
        </w:tcBorders>
        <w:shd w:val="clear" w:color="auto" w:fill="FFFFFF" w:themeFill="background1"/>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rFonts w:ascii="Times New Roman" w:eastAsia="宋体" w:hAnsi="Times New Roman"/>
        <w:b/>
        <w:bCs/>
        <w:color w:val="FFFFFF" w:themeColor="background1"/>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eastAsia="宋体" w:hAnsi="Times New Roman"/>
        <w:b/>
        <w:bCs/>
        <w:color w:val="9E3A38" w:themeColor="accent2" w:themeShade="CC"/>
        <w:sz w:val="24"/>
        <w:szCs w:val="24"/>
      </w:rPr>
      <w:tblPr/>
      <w:tcPr>
        <w:tcBorders>
          <w:top w:val="single" w:sz="12" w:space="0" w:color="000000" w:themeColor="text1"/>
        </w:tcBorders>
        <w:shd w:val="clear" w:color="auto" w:fill="FFFFFF" w:themeFill="background1"/>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rFonts w:ascii="Times New Roman" w:eastAsia="宋体" w:hAnsi="Times New Roman"/>
        <w:b/>
        <w:bCs/>
        <w:color w:val="FFFFFF" w:themeColor="background1"/>
        <w:sz w:val="24"/>
        <w:szCs w:val="24"/>
      </w:rPr>
      <w:tblPr/>
      <w:tcPr>
        <w:tcBorders>
          <w:bottom w:val="single" w:sz="12" w:space="0" w:color="FFFFFF" w:themeColor="background1"/>
        </w:tcBorders>
        <w:shd w:val="clear" w:color="auto" w:fill="664E82" w:themeFill="accent4" w:themeFillShade="CC"/>
      </w:tcPr>
    </w:tblStylePr>
    <w:tblStylePr w:type="lastRow">
      <w:rPr>
        <w:rFonts w:ascii="Times New Roman" w:eastAsia="宋体" w:hAnsi="Times New Roman"/>
        <w:b/>
        <w:bCs/>
        <w:color w:val="664E82" w:themeColor="accent4" w:themeShade="CC"/>
        <w:sz w:val="24"/>
        <w:szCs w:val="24"/>
      </w:rPr>
      <w:tblPr/>
      <w:tcPr>
        <w:tcBorders>
          <w:top w:val="single" w:sz="12" w:space="0" w:color="000000" w:themeColor="text1"/>
        </w:tcBorders>
        <w:shd w:val="clear" w:color="auto" w:fill="FFFFFF" w:themeFill="background1"/>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rFonts w:ascii="Times New Roman" w:eastAsia="宋体" w:hAnsi="Times New Roman"/>
        <w:b/>
        <w:bCs/>
        <w:color w:val="FFFFFF" w:themeColor="background1"/>
        <w:sz w:val="24"/>
        <w:szCs w:val="24"/>
      </w:rPr>
      <w:tblPr/>
      <w:tcPr>
        <w:tcBorders>
          <w:bottom w:val="single" w:sz="12" w:space="0" w:color="FFFFFF" w:themeColor="background1"/>
        </w:tcBorders>
        <w:shd w:val="clear" w:color="auto" w:fill="7E9C40" w:themeFill="accent3" w:themeFillShade="CC"/>
      </w:tcPr>
    </w:tblStylePr>
    <w:tblStylePr w:type="lastRow">
      <w:rPr>
        <w:rFonts w:ascii="Times New Roman" w:eastAsia="宋体" w:hAnsi="Times New Roman"/>
        <w:b/>
        <w:bCs/>
        <w:color w:val="7E9C40" w:themeColor="accent3" w:themeShade="CC"/>
        <w:sz w:val="24"/>
        <w:szCs w:val="24"/>
      </w:rPr>
      <w:tblPr/>
      <w:tcPr>
        <w:tcBorders>
          <w:top w:val="single" w:sz="12" w:space="0" w:color="000000" w:themeColor="text1"/>
        </w:tcBorders>
        <w:shd w:val="clear" w:color="auto" w:fill="FFFFFF" w:themeFill="background1"/>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rFonts w:ascii="Times New Roman" w:eastAsia="宋体" w:hAnsi="Times New Roman"/>
        <w:b/>
        <w:bCs/>
        <w:color w:val="FFFFFF" w:themeColor="background1"/>
        <w:sz w:val="24"/>
        <w:szCs w:val="24"/>
      </w:rPr>
      <w:tblPr/>
      <w:tcPr>
        <w:tcBorders>
          <w:bottom w:val="single" w:sz="12" w:space="0" w:color="FFFFFF" w:themeColor="background1"/>
        </w:tcBorders>
        <w:shd w:val="clear" w:color="auto" w:fill="F2730A" w:themeFill="accent6" w:themeFillShade="CC"/>
      </w:tcPr>
    </w:tblStylePr>
    <w:tblStylePr w:type="lastRow">
      <w:rPr>
        <w:rFonts w:ascii="Times New Roman" w:eastAsia="宋体" w:hAnsi="Times New Roman"/>
        <w:b/>
        <w:bCs/>
        <w:color w:val="F2730A" w:themeColor="accent6" w:themeShade="CC"/>
        <w:sz w:val="24"/>
        <w:szCs w:val="24"/>
      </w:rPr>
      <w:tblPr/>
      <w:tcPr>
        <w:tcBorders>
          <w:top w:val="single" w:sz="12" w:space="0" w:color="000000" w:themeColor="text1"/>
        </w:tcBorders>
        <w:shd w:val="clear" w:color="auto" w:fill="FFFFFF" w:themeFill="background1"/>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rFonts w:ascii="Times New Roman" w:eastAsia="宋体" w:hAnsi="Times New Roman"/>
        <w:b/>
        <w:bCs/>
        <w:color w:val="FFFFFF" w:themeColor="background1"/>
        <w:sz w:val="24"/>
        <w:szCs w:val="24"/>
      </w:rPr>
      <w:tblPr/>
      <w:tcPr>
        <w:tcBorders>
          <w:bottom w:val="single" w:sz="12" w:space="0" w:color="FFFFFF" w:themeColor="background1"/>
        </w:tcBorders>
        <w:shd w:val="clear" w:color="auto" w:fill="348DA5" w:themeFill="accent5" w:themeFillShade="CC"/>
      </w:tcPr>
    </w:tblStylePr>
    <w:tblStylePr w:type="lastRow">
      <w:rPr>
        <w:rFonts w:ascii="Times New Roman" w:eastAsia="宋体" w:hAnsi="Times New Roman"/>
        <w:b/>
        <w:bCs/>
        <w:color w:val="348DA5" w:themeColor="accent5" w:themeShade="CC"/>
        <w:sz w:val="24"/>
        <w:szCs w:val="24"/>
      </w:rPr>
      <w:tblPr/>
      <w:tcPr>
        <w:tcBorders>
          <w:top w:val="single" w:sz="12" w:space="0" w:color="000000" w:themeColor="text1"/>
        </w:tcBorders>
        <w:shd w:val="clear" w:color="auto" w:fill="FFFFFF" w:themeFill="background1"/>
      </w:tcPr>
    </w:tblStylePr>
    <w:tblStylePr w:type="firstCol">
      <w:rPr>
        <w:rFonts w:ascii="Times New Roman" w:eastAsia="宋体" w:hAnsi="Times New Roman"/>
        <w:b/>
        <w:bCs/>
        <w:sz w:val="24"/>
        <w:szCs w:val="24"/>
      </w:rPr>
    </w:tblStylePr>
    <w:tblStylePr w:type="lastCol">
      <w:rPr>
        <w:rFonts w:ascii="Times New Roman" w:eastAsia="宋体" w:hAnsi="Times New Roman"/>
        <w:b/>
        <w:bCs/>
        <w:sz w:val="24"/>
        <w:szCs w:val="24"/>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rFonts w:ascii="Times New Roman" w:eastAsia="宋体" w:hAnsi="Times New Roman"/>
        <w:b/>
        <w:bCs/>
        <w:sz w:val="24"/>
        <w:szCs w:val="24"/>
      </w:rPr>
      <w:tblPr/>
      <w:tcPr>
        <w:shd w:val="clear" w:color="auto" w:fill="999999" w:themeFill="text1" w:themeFillTint="66"/>
      </w:tcPr>
    </w:tblStylePr>
    <w:tblStylePr w:type="lastRow">
      <w:rPr>
        <w:rFonts w:ascii="Times New Roman" w:eastAsia="宋体" w:hAnsi="Times New Roman"/>
        <w:b/>
        <w:bCs/>
        <w:color w:val="000000" w:themeColor="text1"/>
        <w:sz w:val="24"/>
        <w:szCs w:val="24"/>
      </w:rPr>
      <w:tblPr/>
      <w:tcPr>
        <w:shd w:val="clear" w:color="auto" w:fill="999999" w:themeFill="text1" w:themeFillTint="66"/>
      </w:tcPr>
    </w:tblStylePr>
    <w:tblStylePr w:type="firstCol">
      <w:rPr>
        <w:rFonts w:ascii="Times New Roman" w:eastAsia="宋体" w:hAnsi="Times New Roman"/>
        <w:color w:val="FFFFFF" w:themeColor="background1"/>
        <w:sz w:val="24"/>
        <w:szCs w:val="24"/>
      </w:rPr>
      <w:tblPr/>
      <w:tcPr>
        <w:shd w:val="clear" w:color="auto" w:fill="000000" w:themeFill="text1" w:themeFillShade="BF"/>
      </w:tcPr>
    </w:tblStylePr>
    <w:tblStylePr w:type="lastCol">
      <w:rPr>
        <w:rFonts w:ascii="Times New Roman" w:eastAsia="宋体" w:hAnsi="Times New Roman"/>
        <w:color w:val="FFFFFF" w:themeColor="background1"/>
        <w:sz w:val="24"/>
        <w:szCs w:val="24"/>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rFonts w:ascii="Times New Roman" w:eastAsia="宋体" w:hAnsi="Times New Roman"/>
        <w:b/>
        <w:bCs/>
        <w:sz w:val="24"/>
        <w:szCs w:val="24"/>
      </w:rPr>
      <w:tblPr/>
      <w:tcPr>
        <w:shd w:val="clear" w:color="auto" w:fill="B8CCE4" w:themeFill="accent1" w:themeFillTint="66"/>
      </w:tcPr>
    </w:tblStylePr>
    <w:tblStylePr w:type="lastRow">
      <w:rPr>
        <w:rFonts w:ascii="Times New Roman" w:eastAsia="宋体" w:hAnsi="Times New Roman"/>
        <w:b/>
        <w:bCs/>
        <w:color w:val="000000" w:themeColor="text1"/>
        <w:sz w:val="24"/>
        <w:szCs w:val="24"/>
      </w:rPr>
      <w:tblPr/>
      <w:tcPr>
        <w:shd w:val="clear" w:color="auto" w:fill="B8CCE4" w:themeFill="accent1" w:themeFillTint="66"/>
      </w:tcPr>
    </w:tblStylePr>
    <w:tblStylePr w:type="firstCol">
      <w:rPr>
        <w:rFonts w:ascii="Times New Roman" w:eastAsia="宋体" w:hAnsi="Times New Roman"/>
        <w:color w:val="FFFFFF" w:themeColor="background1"/>
        <w:sz w:val="24"/>
        <w:szCs w:val="24"/>
      </w:rPr>
      <w:tblPr/>
      <w:tcPr>
        <w:shd w:val="clear" w:color="auto" w:fill="365F91" w:themeFill="accent1" w:themeFillShade="BF"/>
      </w:tcPr>
    </w:tblStylePr>
    <w:tblStylePr w:type="lastCol">
      <w:rPr>
        <w:rFonts w:ascii="Times New Roman" w:eastAsia="宋体" w:hAnsi="Times New Roman"/>
        <w:color w:val="FFFFFF" w:themeColor="background1"/>
        <w:sz w:val="24"/>
        <w:szCs w:val="24"/>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rFonts w:ascii="Times New Roman" w:eastAsia="宋体" w:hAnsi="Times New Roman"/>
        <w:b/>
        <w:bCs/>
        <w:sz w:val="24"/>
        <w:szCs w:val="24"/>
      </w:rPr>
      <w:tblPr/>
      <w:tcPr>
        <w:shd w:val="clear" w:color="auto" w:fill="E5B8B7" w:themeFill="accent2" w:themeFillTint="66"/>
      </w:tcPr>
    </w:tblStylePr>
    <w:tblStylePr w:type="lastRow">
      <w:rPr>
        <w:rFonts w:ascii="Times New Roman" w:eastAsia="宋体" w:hAnsi="Times New Roman"/>
        <w:b/>
        <w:bCs/>
        <w:color w:val="000000" w:themeColor="text1"/>
        <w:sz w:val="24"/>
        <w:szCs w:val="24"/>
      </w:rPr>
      <w:tblPr/>
      <w:tcPr>
        <w:shd w:val="clear" w:color="auto" w:fill="E5B8B7" w:themeFill="accent2" w:themeFillTint="66"/>
      </w:tcPr>
    </w:tblStylePr>
    <w:tblStylePr w:type="firstCol">
      <w:rPr>
        <w:rFonts w:ascii="Times New Roman" w:eastAsia="宋体" w:hAnsi="Times New Roman"/>
        <w:color w:val="FFFFFF" w:themeColor="background1"/>
        <w:sz w:val="24"/>
        <w:szCs w:val="24"/>
      </w:rPr>
      <w:tblPr/>
      <w:tcPr>
        <w:shd w:val="clear" w:color="auto" w:fill="943634" w:themeFill="accent2" w:themeFillShade="BF"/>
      </w:tcPr>
    </w:tblStylePr>
    <w:tblStylePr w:type="lastCol">
      <w:rPr>
        <w:rFonts w:ascii="Times New Roman" w:eastAsia="宋体" w:hAnsi="Times New Roman"/>
        <w:color w:val="FFFFFF" w:themeColor="background1"/>
        <w:sz w:val="24"/>
        <w:szCs w:val="24"/>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rFonts w:ascii="Times New Roman" w:eastAsia="宋体" w:hAnsi="Times New Roman"/>
        <w:b/>
        <w:bCs/>
        <w:sz w:val="24"/>
        <w:szCs w:val="24"/>
      </w:rPr>
      <w:tblPr/>
      <w:tcPr>
        <w:shd w:val="clear" w:color="auto" w:fill="D6E3BC" w:themeFill="accent3" w:themeFillTint="66"/>
      </w:tcPr>
    </w:tblStylePr>
    <w:tblStylePr w:type="lastRow">
      <w:rPr>
        <w:rFonts w:ascii="Times New Roman" w:eastAsia="宋体" w:hAnsi="Times New Roman"/>
        <w:b/>
        <w:bCs/>
        <w:color w:val="000000" w:themeColor="text1"/>
        <w:sz w:val="24"/>
        <w:szCs w:val="24"/>
      </w:rPr>
      <w:tblPr/>
      <w:tcPr>
        <w:shd w:val="clear" w:color="auto" w:fill="D6E3BC" w:themeFill="accent3" w:themeFillTint="66"/>
      </w:tcPr>
    </w:tblStylePr>
    <w:tblStylePr w:type="firstCol">
      <w:rPr>
        <w:rFonts w:ascii="Times New Roman" w:eastAsia="宋体" w:hAnsi="Times New Roman"/>
        <w:color w:val="FFFFFF" w:themeColor="background1"/>
        <w:sz w:val="24"/>
        <w:szCs w:val="24"/>
      </w:rPr>
      <w:tblPr/>
      <w:tcPr>
        <w:shd w:val="clear" w:color="auto" w:fill="76923C" w:themeFill="accent3" w:themeFillShade="BF"/>
      </w:tcPr>
    </w:tblStylePr>
    <w:tblStylePr w:type="lastCol">
      <w:rPr>
        <w:rFonts w:ascii="Times New Roman" w:eastAsia="宋体" w:hAnsi="Times New Roman"/>
        <w:color w:val="FFFFFF" w:themeColor="background1"/>
        <w:sz w:val="24"/>
        <w:szCs w:val="24"/>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rFonts w:ascii="Times New Roman" w:eastAsia="宋体" w:hAnsi="Times New Roman"/>
        <w:b/>
        <w:bCs/>
        <w:sz w:val="24"/>
        <w:szCs w:val="24"/>
      </w:rPr>
      <w:tblPr/>
      <w:tcPr>
        <w:shd w:val="clear" w:color="auto" w:fill="CCC0D9" w:themeFill="accent4" w:themeFillTint="66"/>
      </w:tcPr>
    </w:tblStylePr>
    <w:tblStylePr w:type="lastRow">
      <w:rPr>
        <w:rFonts w:ascii="Times New Roman" w:eastAsia="宋体" w:hAnsi="Times New Roman"/>
        <w:b/>
        <w:bCs/>
        <w:color w:val="000000" w:themeColor="text1"/>
        <w:sz w:val="24"/>
        <w:szCs w:val="24"/>
      </w:rPr>
      <w:tblPr/>
      <w:tcPr>
        <w:shd w:val="clear" w:color="auto" w:fill="CCC0D9" w:themeFill="accent4" w:themeFillTint="66"/>
      </w:tcPr>
    </w:tblStylePr>
    <w:tblStylePr w:type="firstCol">
      <w:rPr>
        <w:rFonts w:ascii="Times New Roman" w:eastAsia="宋体" w:hAnsi="Times New Roman"/>
        <w:color w:val="FFFFFF" w:themeColor="background1"/>
        <w:sz w:val="24"/>
        <w:szCs w:val="24"/>
      </w:rPr>
      <w:tblPr/>
      <w:tcPr>
        <w:shd w:val="clear" w:color="auto" w:fill="5F497A" w:themeFill="accent4" w:themeFillShade="BF"/>
      </w:tcPr>
    </w:tblStylePr>
    <w:tblStylePr w:type="lastCol">
      <w:rPr>
        <w:rFonts w:ascii="Times New Roman" w:eastAsia="宋体" w:hAnsi="Times New Roman"/>
        <w:color w:val="FFFFFF" w:themeColor="background1"/>
        <w:sz w:val="24"/>
        <w:szCs w:val="24"/>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rFonts w:ascii="Times New Roman" w:eastAsia="宋体" w:hAnsi="Times New Roman"/>
        <w:b/>
        <w:bCs/>
        <w:sz w:val="24"/>
        <w:szCs w:val="24"/>
      </w:rPr>
      <w:tblPr/>
      <w:tcPr>
        <w:shd w:val="clear" w:color="auto" w:fill="B6DDE8" w:themeFill="accent5" w:themeFillTint="66"/>
      </w:tcPr>
    </w:tblStylePr>
    <w:tblStylePr w:type="lastRow">
      <w:rPr>
        <w:rFonts w:ascii="Times New Roman" w:eastAsia="宋体" w:hAnsi="Times New Roman"/>
        <w:b/>
        <w:bCs/>
        <w:color w:val="000000" w:themeColor="text1"/>
        <w:sz w:val="24"/>
        <w:szCs w:val="24"/>
      </w:rPr>
      <w:tblPr/>
      <w:tcPr>
        <w:shd w:val="clear" w:color="auto" w:fill="B6DDE8" w:themeFill="accent5" w:themeFillTint="66"/>
      </w:tcPr>
    </w:tblStylePr>
    <w:tblStylePr w:type="firstCol">
      <w:rPr>
        <w:rFonts w:ascii="Times New Roman" w:eastAsia="宋体" w:hAnsi="Times New Roman"/>
        <w:color w:val="FFFFFF" w:themeColor="background1"/>
        <w:sz w:val="24"/>
        <w:szCs w:val="24"/>
      </w:rPr>
      <w:tblPr/>
      <w:tcPr>
        <w:shd w:val="clear" w:color="auto" w:fill="31849B" w:themeFill="accent5" w:themeFillShade="BF"/>
      </w:tcPr>
    </w:tblStylePr>
    <w:tblStylePr w:type="lastCol">
      <w:rPr>
        <w:rFonts w:ascii="Times New Roman" w:eastAsia="宋体" w:hAnsi="Times New Roman"/>
        <w:color w:val="FFFFFF" w:themeColor="background1"/>
        <w:sz w:val="24"/>
        <w:szCs w:val="24"/>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rFonts w:ascii="Times New Roman" w:eastAsia="宋体" w:hAnsi="Times New Roman"/>
        <w:b/>
        <w:bCs/>
        <w:sz w:val="24"/>
        <w:szCs w:val="24"/>
      </w:rPr>
      <w:tblPr/>
      <w:tcPr>
        <w:shd w:val="clear" w:color="auto" w:fill="FBD4B4" w:themeFill="accent6" w:themeFillTint="66"/>
      </w:tcPr>
    </w:tblStylePr>
    <w:tblStylePr w:type="lastRow">
      <w:rPr>
        <w:rFonts w:ascii="Times New Roman" w:eastAsia="宋体" w:hAnsi="Times New Roman"/>
        <w:b/>
        <w:bCs/>
        <w:color w:val="000000" w:themeColor="text1"/>
        <w:sz w:val="24"/>
        <w:szCs w:val="24"/>
      </w:rPr>
      <w:tblPr/>
      <w:tcPr>
        <w:shd w:val="clear" w:color="auto" w:fill="FBD4B4" w:themeFill="accent6" w:themeFillTint="66"/>
      </w:tcPr>
    </w:tblStylePr>
    <w:tblStylePr w:type="firstCol">
      <w:rPr>
        <w:rFonts w:ascii="Times New Roman" w:eastAsia="宋体" w:hAnsi="Times New Roman"/>
        <w:color w:val="FFFFFF" w:themeColor="background1"/>
        <w:sz w:val="24"/>
        <w:szCs w:val="24"/>
      </w:rPr>
      <w:tblPr/>
      <w:tcPr>
        <w:shd w:val="clear" w:color="auto" w:fill="E36C0A" w:themeFill="accent6" w:themeFillShade="BF"/>
      </w:tcPr>
    </w:tblStylePr>
    <w:tblStylePr w:type="lastCol">
      <w:rPr>
        <w:rFonts w:ascii="Times New Roman" w:eastAsia="宋体" w:hAnsi="Times New Roman"/>
        <w:color w:val="FFFFFF" w:themeColor="background1"/>
        <w:sz w:val="24"/>
        <w:szCs w:val="24"/>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È±Ê¡ÎÄ±¾"/>
    <w:basedOn w:val="a1"/>
    <w:qFormat/>
    <w:rsid w:val="0015030A"/>
    <w:pPr>
      <w:overflowPunct w:val="0"/>
      <w:autoSpaceDE w:val="0"/>
      <w:autoSpaceDN w:val="0"/>
      <w:adjustRightInd w:val="0"/>
      <w:spacing w:after="0" w:line="240" w:lineRule="auto"/>
      <w:textAlignment w:val="baseline"/>
    </w:pPr>
  </w:style>
  <w:style w:type="character" w:styleId="affa">
    <w:name w:val="annotation reference"/>
    <w:basedOn w:val="a2"/>
    <w:uiPriority w:val="99"/>
    <w:semiHidden/>
    <w:unhideWhenUsed/>
    <w:rsid w:val="00020041"/>
    <w:rPr>
      <w:rFonts w:ascii="Times New Roman" w:eastAsia="宋体" w:hAnsi="Times New Roman"/>
      <w:sz w:val="24"/>
      <w:szCs w:val="24"/>
    </w:rPr>
  </w:style>
  <w:style w:type="paragraph" w:styleId="affb">
    <w:name w:val="annotation text"/>
    <w:basedOn w:val="a1"/>
    <w:link w:val="affc"/>
    <w:uiPriority w:val="99"/>
    <w:unhideWhenUsed/>
    <w:rsid w:val="00020041"/>
    <w:pPr>
      <w:spacing w:line="240" w:lineRule="auto"/>
    </w:pPr>
  </w:style>
  <w:style w:type="character" w:customStyle="1" w:styleId="affc">
    <w:name w:val="批注文字 字符"/>
    <w:basedOn w:val="a2"/>
    <w:link w:val="affb"/>
    <w:uiPriority w:val="99"/>
    <w:rsid w:val="00020041"/>
    <w:rPr>
      <w:rFonts w:ascii="Times New Roman" w:eastAsia="宋体" w:hAnsi="Times New Roman"/>
      <w:sz w:val="24"/>
      <w:szCs w:val="24"/>
    </w:rPr>
  </w:style>
  <w:style w:type="paragraph" w:styleId="affd">
    <w:name w:val="annotation subject"/>
    <w:basedOn w:val="affb"/>
    <w:next w:val="affb"/>
    <w:link w:val="affe"/>
    <w:uiPriority w:val="99"/>
    <w:semiHidden/>
    <w:unhideWhenUsed/>
    <w:rsid w:val="00020041"/>
    <w:rPr>
      <w:b/>
      <w:bCs/>
    </w:rPr>
  </w:style>
  <w:style w:type="character" w:customStyle="1" w:styleId="affe">
    <w:name w:val="批注主题 字符"/>
    <w:basedOn w:val="affc"/>
    <w:link w:val="affd"/>
    <w:uiPriority w:val="99"/>
    <w:semiHidden/>
    <w:rsid w:val="00020041"/>
    <w:rPr>
      <w:rFonts w:ascii="Times New Roman" w:eastAsia="宋体" w:hAnsi="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22</Pages>
  <Words>3703</Words>
  <Characters>21113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技术交底书：自然驾驶事件约束的自动驾驶多失效域测试方法</dc:title>
  <dc:subject>自然驾驶事件约束的自动驾驶多失效域测试</dc:subject>
  <dc:creator>蒋拯民</dc:creator>
  <cp:keywords/>
  <dc:description>generated by python-docx</dc:description>
  <cp:lastModifiedBy>Zhengmin JIANG</cp:lastModifiedBy>
  <cp:revision>42</cp:revision>
  <dcterms:created xsi:type="dcterms:W3CDTF">2013-12-23T23:15:00Z</dcterms:created>
  <dcterms:modified xsi:type="dcterms:W3CDTF">2026-10-25T04:12:00Z</dcterms:modified>
  <cp:category/>
</cp:coreProperties>
</file>