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
    </w:p>
    <w:p>
      <w:pPr>
        <w:pStyle w:val="695"/>
        <w:pBdr/>
        <w:spacing/>
        <w:ind/>
        <w:rPr/>
      </w:pPr>
      <w:r>
        <w:rPr>
          <w:rStyle w:val="698"/>
        </w:rPr>
        <w:t xml:space="preserve">SiPM Options for CsI(Tl) (550nm emission peak)</w:t>
      </w:r>
      <w:r/>
    </w:p>
    <w:p>
      <w:pPr>
        <w:pStyle w:val="701"/>
        <w:pBdr/>
        <w:spacing/>
        <w:ind/>
        <w:rPr/>
      </w:pPr>
      <w:r>
        <w:rPr>
          <w:rStyle w:val="704"/>
        </w:rPr>
        <w:t xml:space="preserve">Best Spectral Match: RGB SiPMs (Peak PDE at 550nm)</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gridCol w:w="1134"/>
        <w:gridCol w:w="1134"/>
      </w:tblGrid>
      <w:tr>
        <w:trPr/>
        <w:tc>
          <w:tcPr>
            <w:tcBorders>
              <w:bottom w:val="single" w:color="dddddd" w:sz="12" w:space="0"/>
            </w:tcBorders>
            <w:tcW w:w="0" w:type="auto"/>
            <w:vAlign w:val="center"/>
            <w:textDirection w:val="lrTb"/>
            <w:noWrap w:val="false"/>
          </w:tcPr>
          <w:p>
            <w:pPr>
              <w:pStyle w:val="705"/>
              <w:pBdr/>
              <w:spacing/>
              <w:ind/>
              <w:rPr/>
            </w:pPr>
            <w:r>
              <w:rPr>
                <w:rStyle w:val="706"/>
                <w:b/>
                <w:bCs/>
              </w:rPr>
              <w:t xml:space="preserve">Model</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Manufacturer</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Size</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Peak λ</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PDE at 550nm</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Buy From</w:t>
            </w:r>
            <w:r/>
          </w:p>
        </w:tc>
      </w:tr>
      <w:tr>
        <w:trPr/>
        <w:tc>
          <w:tcPr>
            <w:tcBorders>
              <w:top w:val="single" w:color="dddddd" w:sz="6" w:space="0"/>
            </w:tcBorders>
            <w:tcW w:w="0" w:type="auto"/>
            <w:vAlign w:val="center"/>
            <w:textDirection w:val="lrTb"/>
            <w:noWrap w:val="false"/>
          </w:tcPr>
          <w:p>
            <w:pPr>
              <w:pStyle w:val="707"/>
              <w:pBdr/>
              <w:spacing/>
              <w:ind/>
              <w:rPr/>
            </w:pPr>
            <w:r>
              <w:rPr>
                <w:rStyle w:val="708"/>
                <w:b/>
                <w:bCs/>
              </w:rPr>
              <w:t xml:space="preserve">SiPM-RGB4S-SMD</w:t>
            </w:r>
            <w:r/>
          </w:p>
        </w:tc>
        <w:tc>
          <w:tcPr>
            <w:tcBorders>
              <w:top w:val="single" w:color="dddddd" w:sz="6" w:space="0"/>
            </w:tcBorders>
            <w:tcW w:w="0" w:type="auto"/>
            <w:vAlign w:val="center"/>
            <w:textDirection w:val="lrTb"/>
            <w:noWrap w:val="false"/>
          </w:tcPr>
          <w:p>
            <w:pPr>
              <w:pStyle w:val="707"/>
              <w:pBdr/>
              <w:spacing/>
              <w:ind/>
              <w:rPr/>
            </w:pPr>
            <w:r>
              <w:rPr>
                <w:rStyle w:val="708"/>
              </w:rPr>
              <w:t xml:space="preserve">First Sensor (ams OSRAM)</w:t>
            </w:r>
            <w:r/>
          </w:p>
        </w:tc>
        <w:tc>
          <w:tcPr>
            <w:tcBorders>
              <w:top w:val="single" w:color="dddddd" w:sz="6" w:space="0"/>
            </w:tcBorders>
            <w:tcW w:w="0" w:type="auto"/>
            <w:vAlign w:val="center"/>
            <w:textDirection w:val="lrTb"/>
            <w:noWrap w:val="false"/>
          </w:tcPr>
          <w:p>
            <w:pPr>
              <w:pStyle w:val="707"/>
              <w:pBdr/>
              <w:spacing/>
              <w:ind/>
              <w:rPr/>
            </w:pPr>
            <w:r>
              <w:rPr>
                <w:rStyle w:val="708"/>
              </w:rPr>
              <w:t xml:space="preserve">4×4mm</w:t>
            </w:r>
            <w:r/>
          </w:p>
        </w:tc>
        <w:tc>
          <w:tcPr>
            <w:tcBorders>
              <w:top w:val="single" w:color="dddddd" w:sz="6" w:space="0"/>
            </w:tcBorders>
            <w:tcW w:w="0" w:type="auto"/>
            <w:vAlign w:val="center"/>
            <w:textDirection w:val="lrTb"/>
            <w:noWrap w:val="false"/>
          </w:tcPr>
          <w:p>
            <w:pPr>
              <w:pStyle w:val="707"/>
              <w:pBdr/>
              <w:spacing/>
              <w:ind/>
              <w:rPr/>
            </w:pPr>
            <w:r>
              <w:rPr>
                <w:rStyle w:val="708"/>
              </w:rPr>
              <w:t xml:space="preserve">550nm</w:t>
            </w:r>
            <w:r/>
          </w:p>
        </w:tc>
        <w:tc>
          <w:tcPr>
            <w:tcBorders>
              <w:top w:val="single" w:color="dddddd" w:sz="6" w:space="0"/>
            </w:tcBorders>
            <w:tcW w:w="0" w:type="auto"/>
            <w:vAlign w:val="center"/>
            <w:textDirection w:val="lrTb"/>
            <w:noWrap w:val="false"/>
          </w:tcPr>
          <w:p>
            <w:pPr>
              <w:pStyle w:val="707"/>
              <w:pBdr/>
              <w:spacing/>
              <w:ind/>
              <w:rPr/>
            </w:pPr>
            <w:r>
              <w:rPr>
                <w:rStyle w:val="708"/>
              </w:rPr>
              <w:t xml:space="preserve">32.5%</w:t>
            </w:r>
            <w:r/>
          </w:p>
        </w:tc>
        <w:tc>
          <w:tcPr>
            <w:tcBorders>
              <w:top w:val="single" w:color="dddddd" w:sz="6" w:space="0"/>
            </w:tcBorders>
            <w:tcW w:w="0" w:type="auto"/>
            <w:vAlign w:val="center"/>
            <w:textDirection w:val="lrTb"/>
            <w:noWrap w:val="false"/>
          </w:tcPr>
          <w:p>
            <w:pPr>
              <w:pStyle w:val="707"/>
              <w:pBdr/>
              <w:spacing/>
              <w:ind/>
              <w:rPr/>
            </w:pPr>
            <w:r>
              <w:rPr>
                <w:rStyle w:val="708"/>
              </w:rPr>
              <w:t xml:space="preserve">Mouser</w:t>
            </w:r>
            <w:r/>
          </w:p>
        </w:tc>
      </w:tr>
      <w:tr>
        <w:trPr/>
        <w:tc>
          <w:tcPr>
            <w:tcBorders>
              <w:top w:val="single" w:color="dddddd" w:sz="6" w:space="0"/>
            </w:tcBorders>
            <w:tcW w:w="0" w:type="auto"/>
            <w:vAlign w:val="center"/>
            <w:textDirection w:val="lrTb"/>
            <w:noWrap w:val="false"/>
          </w:tcPr>
          <w:p>
            <w:pPr>
              <w:pStyle w:val="707"/>
              <w:pBdr/>
              <w:spacing/>
              <w:ind/>
              <w:rPr/>
            </w:pPr>
            <w:r>
              <w:rPr>
                <w:rStyle w:val="708"/>
                <w:b/>
                <w:bCs/>
              </w:rPr>
              <w:t xml:space="preserve">ASD-RGB4S-P</w:t>
            </w:r>
            <w:r/>
          </w:p>
        </w:tc>
        <w:tc>
          <w:tcPr>
            <w:tcBorders>
              <w:top w:val="single" w:color="dddddd" w:sz="6" w:space="0"/>
            </w:tcBorders>
            <w:tcW w:w="0" w:type="auto"/>
            <w:vAlign w:val="center"/>
            <w:textDirection w:val="lrTb"/>
            <w:noWrap w:val="false"/>
          </w:tcPr>
          <w:p>
            <w:pPr>
              <w:pStyle w:val="707"/>
              <w:pBdr/>
              <w:spacing/>
              <w:ind/>
              <w:rPr/>
            </w:pPr>
            <w:r>
              <w:rPr>
                <w:rStyle w:val="708"/>
              </w:rPr>
              <w:t xml:space="preserve">AdvanSiD (FBK)</w:t>
            </w:r>
            <w:r/>
          </w:p>
        </w:tc>
        <w:tc>
          <w:tcPr>
            <w:tcBorders>
              <w:top w:val="single" w:color="dddddd" w:sz="6" w:space="0"/>
            </w:tcBorders>
            <w:tcW w:w="0" w:type="auto"/>
            <w:vAlign w:val="center"/>
            <w:textDirection w:val="lrTb"/>
            <w:noWrap w:val="false"/>
          </w:tcPr>
          <w:p>
            <w:pPr>
              <w:pStyle w:val="707"/>
              <w:pBdr/>
              <w:spacing/>
              <w:ind/>
              <w:rPr/>
            </w:pPr>
            <w:r>
              <w:rPr>
                <w:rStyle w:val="708"/>
              </w:rPr>
              <w:t xml:space="preserve">4×4mm</w:t>
            </w:r>
            <w:r/>
          </w:p>
        </w:tc>
        <w:tc>
          <w:tcPr>
            <w:tcBorders>
              <w:top w:val="single" w:color="dddddd" w:sz="6" w:space="0"/>
            </w:tcBorders>
            <w:tcW w:w="0" w:type="auto"/>
            <w:vAlign w:val="center"/>
            <w:textDirection w:val="lrTb"/>
            <w:noWrap w:val="false"/>
          </w:tcPr>
          <w:p>
            <w:pPr>
              <w:pStyle w:val="707"/>
              <w:pBdr/>
              <w:spacing/>
              <w:ind/>
              <w:rPr/>
            </w:pPr>
            <w:r>
              <w:rPr>
                <w:rStyle w:val="708"/>
              </w:rPr>
              <w:t xml:space="preserve">550nm</w:t>
            </w:r>
            <w:r/>
          </w:p>
        </w:tc>
        <w:tc>
          <w:tcPr>
            <w:tcBorders>
              <w:top w:val="single" w:color="dddddd" w:sz="6" w:space="0"/>
            </w:tcBorders>
            <w:tcW w:w="0" w:type="auto"/>
            <w:vAlign w:val="center"/>
            <w:textDirection w:val="lrTb"/>
            <w:noWrap w:val="false"/>
          </w:tcPr>
          <w:p>
            <w:pPr>
              <w:pStyle w:val="707"/>
              <w:pBdr/>
              <w:spacing/>
              <w:ind/>
              <w:rPr/>
            </w:pPr>
            <w:r>
              <w:rPr>
                <w:rStyle w:val="708"/>
              </w:rPr>
              <w:t xml:space="preserve">32.5%</w:t>
            </w:r>
            <w:r/>
          </w:p>
        </w:tc>
        <w:tc>
          <w:tcPr>
            <w:tcBorders>
              <w:top w:val="single" w:color="dddddd" w:sz="6" w:space="0"/>
            </w:tcBorders>
            <w:tcW w:w="0" w:type="auto"/>
            <w:vAlign w:val="center"/>
            <w:textDirection w:val="lrTb"/>
            <w:noWrap w:val="false"/>
          </w:tcPr>
          <w:p>
            <w:pPr>
              <w:pStyle w:val="707"/>
              <w:pBdr/>
              <w:spacing/>
              <w:ind/>
              <w:rPr/>
            </w:pPr>
            <w:r>
              <w:rPr>
                <w:rStyle w:val="708"/>
              </w:rPr>
              <w:t xml:space="preserve">Direct from advansid.com</w:t>
            </w:r>
            <w:r/>
          </w:p>
        </w:tc>
      </w:tr>
      <w:tr>
        <w:trPr/>
        <w:tc>
          <w:tcPr>
            <w:tcBorders>
              <w:top w:val="single" w:color="dddddd" w:sz="6" w:space="0"/>
            </w:tcBorders>
            <w:tcW w:w="0" w:type="auto"/>
            <w:vAlign w:val="center"/>
            <w:textDirection w:val="lrTb"/>
            <w:noWrap w:val="false"/>
          </w:tcPr>
          <w:p>
            <w:pPr>
              <w:pStyle w:val="707"/>
              <w:pBdr/>
              <w:spacing/>
              <w:ind/>
              <w:rPr/>
            </w:pPr>
            <w:r>
              <w:rPr>
                <w:rStyle w:val="708"/>
                <w:b/>
                <w:bCs/>
              </w:rPr>
              <w:t xml:space="preserve">ASD-RGB3S-P</w:t>
            </w:r>
            <w:r/>
          </w:p>
        </w:tc>
        <w:tc>
          <w:tcPr>
            <w:tcBorders>
              <w:top w:val="single" w:color="dddddd" w:sz="6" w:space="0"/>
            </w:tcBorders>
            <w:tcW w:w="0" w:type="auto"/>
            <w:vAlign w:val="center"/>
            <w:textDirection w:val="lrTb"/>
            <w:noWrap w:val="false"/>
          </w:tcPr>
          <w:p>
            <w:pPr>
              <w:pStyle w:val="707"/>
              <w:pBdr/>
              <w:spacing/>
              <w:ind/>
              <w:rPr/>
            </w:pPr>
            <w:r>
              <w:rPr>
                <w:rStyle w:val="708"/>
              </w:rPr>
              <w:t xml:space="preserve">AdvanSiD (FBK)</w:t>
            </w:r>
            <w:r/>
          </w:p>
        </w:tc>
        <w:tc>
          <w:tcPr>
            <w:tcBorders>
              <w:top w:val="single" w:color="dddddd" w:sz="6" w:space="0"/>
            </w:tcBorders>
            <w:tcW w:w="0" w:type="auto"/>
            <w:vAlign w:val="center"/>
            <w:textDirection w:val="lrTb"/>
            <w:noWrap w:val="false"/>
          </w:tcPr>
          <w:p>
            <w:pPr>
              <w:pStyle w:val="707"/>
              <w:pBdr/>
              <w:spacing/>
              <w:ind/>
              <w:rPr/>
            </w:pPr>
            <w:r>
              <w:rPr>
                <w:rStyle w:val="708"/>
              </w:rPr>
              <w:t xml:space="preserve">3×3mm</w:t>
            </w:r>
            <w:r/>
          </w:p>
        </w:tc>
        <w:tc>
          <w:tcPr>
            <w:tcBorders>
              <w:top w:val="single" w:color="dddddd" w:sz="6" w:space="0"/>
            </w:tcBorders>
            <w:tcW w:w="0" w:type="auto"/>
            <w:vAlign w:val="center"/>
            <w:textDirection w:val="lrTb"/>
            <w:noWrap w:val="false"/>
          </w:tcPr>
          <w:p>
            <w:pPr>
              <w:pStyle w:val="707"/>
              <w:pBdr/>
              <w:spacing/>
              <w:ind/>
              <w:rPr/>
            </w:pPr>
            <w:r>
              <w:rPr>
                <w:rStyle w:val="708"/>
              </w:rPr>
              <w:t xml:space="preserve">550nm</w:t>
            </w:r>
            <w:r/>
          </w:p>
        </w:tc>
        <w:tc>
          <w:tcPr>
            <w:tcBorders>
              <w:top w:val="single" w:color="dddddd" w:sz="6" w:space="0"/>
            </w:tcBorders>
            <w:tcW w:w="0" w:type="auto"/>
            <w:vAlign w:val="center"/>
            <w:textDirection w:val="lrTb"/>
            <w:noWrap w:val="false"/>
          </w:tcPr>
          <w:p>
            <w:pPr>
              <w:pStyle w:val="707"/>
              <w:pBdr/>
              <w:spacing/>
              <w:ind/>
              <w:rPr/>
            </w:pPr>
            <w:r>
              <w:rPr>
                <w:rStyle w:val="708"/>
              </w:rPr>
              <w:t xml:space="preserve">32.5%</w:t>
            </w:r>
            <w:r/>
          </w:p>
        </w:tc>
        <w:tc>
          <w:tcPr>
            <w:tcBorders>
              <w:top w:val="single" w:color="dddddd" w:sz="6" w:space="0"/>
            </w:tcBorders>
            <w:tcW w:w="0" w:type="auto"/>
            <w:vAlign w:val="center"/>
            <w:textDirection w:val="lrTb"/>
            <w:noWrap w:val="false"/>
          </w:tcPr>
          <w:p>
            <w:pPr>
              <w:pStyle w:val="707"/>
              <w:pBdr/>
              <w:spacing/>
              <w:ind/>
              <w:rPr/>
            </w:pPr>
            <w:r>
              <w:rPr>
                <w:rStyle w:val="708"/>
              </w:rPr>
              <w:t xml:space="preserve">Direct from advansid.com</w:t>
            </w:r>
            <w:r/>
          </w:p>
        </w:tc>
      </w:tr>
    </w:tbl>
    <w:p>
      <w:pPr>
        <w:pBdr/>
        <w:spacing/>
        <w:ind/>
        <w:rPr/>
      </w:pPr>
      <w:r/>
      <w:r/>
    </w:p>
    <w:p>
      <w:pPr>
        <w:pStyle w:val="691"/>
        <w:pBdr/>
        <w:spacing/>
        <w:ind/>
        <w:rPr/>
      </w:pPr>
      <w:r>
        <w:rPr>
          <w:rStyle w:val="692"/>
        </w:rPr>
        <w:t xml:space="preserve">AdvanSiD offers RGB-SiPM technology: N-on-P silicon photomultipliers for the detection of visible light with peak sensitivity wavelength at 550nm, spectral response range 350 to 900nm.</w:t>
      </w:r>
      <w:r/>
    </w:p>
    <w:p>
      <w:pPr>
        <w:pStyle w:val="691"/>
        <w:pBdr/>
        <w:spacing/>
        <w:ind/>
        <w:rPr/>
      </w:pPr>
      <w:r>
        <w:rPr>
          <w:rStyle w:val="692"/>
        </w:rPr>
        <w:t xml:space="preserve">The RGB SiPM is developed for maximum PDE at 550nm, which is a good match for high-light-yield scintillators such as CsI:Tl.</w:t>
      </w:r>
      <w:r/>
    </w:p>
    <w:p>
      <w:pPr>
        <w:pStyle w:val="691"/>
        <w:pBdr/>
        <w:spacing/>
        <w:ind/>
        <w:rPr/>
      </w:pPr>
      <w:r>
        <w:rPr>
          <w:rStyle w:val="692"/>
          <w:b/>
          <w:bCs/>
        </w:rPr>
        <w:t xml:space="preserve">Note:</w:t>
      </w:r>
      <w:r>
        <w:rPr>
          <w:rStyle w:val="692"/>
        </w:rPr>
        <w:t xml:space="preserve"> F</w:t>
      </w:r>
      <w:r>
        <w:rPr>
          <w:rStyle w:val="692"/>
        </w:rPr>
        <w:t xml:space="preserve">or CsI, the energy resolution is actually better with blue-sensitive SiPMs because of lower dark count rate. The RGB SiPMs have DCR &lt; 200 kHz/mm² at 4V overvoltage which is higher than NUV types. So the trade-off is: better spectral match vs. higher noise.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 name="Line 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Excellent Alternative: Hamamatsu S14420 Series (Visible/NIR enhanced)</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gridCol w:w="1134"/>
        <w:gridCol w:w="1134"/>
      </w:tblGrid>
      <w:tr>
        <w:trPr/>
        <w:tc>
          <w:tcPr>
            <w:tcBorders>
              <w:bottom w:val="single" w:color="dddddd" w:sz="12" w:space="0"/>
            </w:tcBorders>
            <w:tcW w:w="0" w:type="auto"/>
            <w:vAlign w:val="center"/>
            <w:textDirection w:val="lrTb"/>
            <w:noWrap w:val="false"/>
          </w:tcPr>
          <w:p>
            <w:pPr>
              <w:pStyle w:val="705"/>
              <w:pBdr/>
              <w:spacing/>
              <w:ind/>
              <w:rPr/>
            </w:pPr>
            <w:r>
              <w:rPr>
                <w:rStyle w:val="706"/>
                <w:b/>
                <w:bCs/>
              </w:rPr>
              <w:t xml:space="preserve">Model</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Size</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Peak λ</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PDE at 550nm</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Price</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Buy From</w:t>
            </w:r>
            <w:r/>
          </w:p>
        </w:tc>
      </w:tr>
      <w:tr>
        <w:trPr/>
        <w:tc>
          <w:tcPr>
            <w:tcBorders>
              <w:top w:val="single" w:color="dddddd" w:sz="6" w:space="0"/>
            </w:tcBorders>
            <w:tcW w:w="0" w:type="auto"/>
            <w:vAlign w:val="center"/>
            <w:textDirection w:val="lrTb"/>
            <w:noWrap w:val="false"/>
          </w:tcPr>
          <w:p>
            <w:pPr>
              <w:pStyle w:val="707"/>
              <w:pBdr/>
              <w:spacing/>
              <w:ind/>
              <w:rPr/>
            </w:pPr>
            <w:r>
              <w:rPr>
                <w:rStyle w:val="708"/>
                <w:b/>
                <w:bCs/>
              </w:rPr>
              <w:t xml:space="preserve">S14420-3050MG</w:t>
            </w:r>
            <w:r/>
          </w:p>
        </w:tc>
        <w:tc>
          <w:tcPr>
            <w:tcBorders>
              <w:top w:val="single" w:color="dddddd" w:sz="6" w:space="0"/>
            </w:tcBorders>
            <w:tcW w:w="0" w:type="auto"/>
            <w:vAlign w:val="center"/>
            <w:textDirection w:val="lrTb"/>
            <w:noWrap w:val="false"/>
          </w:tcPr>
          <w:p>
            <w:pPr>
              <w:pStyle w:val="707"/>
              <w:pBdr/>
              <w:spacing/>
              <w:ind/>
              <w:rPr/>
            </w:pPr>
            <w:r>
              <w:rPr>
                <w:rStyle w:val="708"/>
              </w:rPr>
              <w:t xml:space="preserve">3×3mm</w:t>
            </w:r>
            <w:r/>
          </w:p>
        </w:tc>
        <w:tc>
          <w:tcPr>
            <w:tcBorders>
              <w:top w:val="single" w:color="dddddd" w:sz="6" w:space="0"/>
            </w:tcBorders>
            <w:tcW w:w="0" w:type="auto"/>
            <w:vAlign w:val="center"/>
            <w:textDirection w:val="lrTb"/>
            <w:noWrap w:val="false"/>
          </w:tcPr>
          <w:p>
            <w:pPr>
              <w:pStyle w:val="707"/>
              <w:pBdr/>
              <w:spacing/>
              <w:ind/>
              <w:rPr/>
            </w:pPr>
            <w:r>
              <w:rPr>
                <w:rStyle w:val="708"/>
              </w:rPr>
              <w:t xml:space="preserve">~550-600nm</w:t>
            </w:r>
            <w:r/>
          </w:p>
        </w:tc>
        <w:tc>
          <w:tcPr>
            <w:tcBorders>
              <w:top w:val="single" w:color="dddddd" w:sz="6" w:space="0"/>
            </w:tcBorders>
            <w:tcW w:w="0" w:type="auto"/>
            <w:vAlign w:val="center"/>
            <w:textDirection w:val="lrTb"/>
            <w:noWrap w:val="false"/>
          </w:tcPr>
          <w:p>
            <w:pPr>
              <w:pStyle w:val="707"/>
              <w:pBdr/>
              <w:spacing/>
              <w:ind/>
              <w:rPr/>
            </w:pPr>
            <w:r>
              <w:rPr>
                <w:rStyle w:val="708"/>
              </w:rPr>
              <w:t xml:space="preserve">40% at 600nm</w:t>
            </w:r>
            <w:r/>
          </w:p>
        </w:tc>
        <w:tc>
          <w:tcPr>
            <w:tcBorders>
              <w:top w:val="single" w:color="dddddd" w:sz="6" w:space="0"/>
            </w:tcBorders>
            <w:tcW w:w="0" w:type="auto"/>
            <w:vAlign w:val="center"/>
            <w:textDirection w:val="lrTb"/>
            <w:noWrap w:val="false"/>
          </w:tcPr>
          <w:p>
            <w:pPr>
              <w:pStyle w:val="707"/>
              <w:pBdr/>
              <w:spacing/>
              <w:ind/>
              <w:rPr/>
            </w:pPr>
            <w:r>
              <w:rPr>
                <w:rStyle w:val="708"/>
              </w:rPr>
              <w:t xml:space="preserve">~$50-80</w:t>
            </w:r>
            <w:r/>
          </w:p>
        </w:tc>
        <w:tc>
          <w:tcPr>
            <w:tcBorders>
              <w:top w:val="single" w:color="dddddd" w:sz="6" w:space="0"/>
            </w:tcBorders>
            <w:tcW w:w="0" w:type="auto"/>
            <w:vAlign w:val="center"/>
            <w:textDirection w:val="lrTb"/>
            <w:noWrap w:val="false"/>
          </w:tcPr>
          <w:p>
            <w:pPr>
              <w:pStyle w:val="707"/>
              <w:pBdr/>
              <w:spacing/>
              <w:ind/>
              <w:rPr/>
            </w:pPr>
            <w:r>
              <w:rPr>
                <w:rStyle w:val="708"/>
              </w:rPr>
              <w:t xml:space="preserve">Hamamatsu shop, DigiKey</w:t>
            </w:r>
            <w:r/>
          </w:p>
        </w:tc>
      </w:tr>
      <w:tr>
        <w:trPr/>
        <w:tc>
          <w:tcPr>
            <w:tcBorders>
              <w:top w:val="single" w:color="dddddd" w:sz="6" w:space="0"/>
            </w:tcBorders>
            <w:tcW w:w="0" w:type="auto"/>
            <w:vAlign w:val="center"/>
            <w:textDirection w:val="lrTb"/>
            <w:noWrap w:val="false"/>
          </w:tcPr>
          <w:p>
            <w:pPr>
              <w:pStyle w:val="707"/>
              <w:pBdr/>
              <w:spacing/>
              <w:ind/>
              <w:rPr/>
            </w:pPr>
            <w:r>
              <w:rPr>
                <w:rStyle w:val="708"/>
                <w:b/>
                <w:bCs/>
              </w:rPr>
              <w:t xml:space="preserve">S14420-6050MG</w:t>
            </w:r>
            <w:r/>
          </w:p>
        </w:tc>
        <w:tc>
          <w:tcPr>
            <w:tcBorders>
              <w:top w:val="single" w:color="dddddd" w:sz="6" w:space="0"/>
            </w:tcBorders>
            <w:tcW w:w="0" w:type="auto"/>
            <w:vAlign w:val="center"/>
            <w:textDirection w:val="lrTb"/>
            <w:noWrap w:val="false"/>
          </w:tcPr>
          <w:p>
            <w:pPr>
              <w:pStyle w:val="707"/>
              <w:pBdr/>
              <w:spacing/>
              <w:ind/>
              <w:rPr/>
            </w:pPr>
            <w:r>
              <w:rPr>
                <w:rStyle w:val="708"/>
              </w:rPr>
              <w:t xml:space="preserve">6×6mm</w:t>
            </w:r>
            <w:r/>
          </w:p>
        </w:tc>
        <w:tc>
          <w:tcPr>
            <w:tcBorders>
              <w:top w:val="single" w:color="dddddd" w:sz="6" w:space="0"/>
            </w:tcBorders>
            <w:tcW w:w="0" w:type="auto"/>
            <w:vAlign w:val="center"/>
            <w:textDirection w:val="lrTb"/>
            <w:noWrap w:val="false"/>
          </w:tcPr>
          <w:p>
            <w:pPr>
              <w:pStyle w:val="707"/>
              <w:pBdr/>
              <w:spacing/>
              <w:ind/>
              <w:rPr/>
            </w:pPr>
            <w:r>
              <w:rPr>
                <w:rStyle w:val="708"/>
              </w:rPr>
              <w:t xml:space="preserve">~550-600nm</w:t>
            </w:r>
            <w:r/>
          </w:p>
        </w:tc>
        <w:tc>
          <w:tcPr>
            <w:tcBorders>
              <w:top w:val="single" w:color="dddddd" w:sz="6" w:space="0"/>
            </w:tcBorders>
            <w:tcW w:w="0" w:type="auto"/>
            <w:vAlign w:val="center"/>
            <w:textDirection w:val="lrTb"/>
            <w:noWrap w:val="false"/>
          </w:tcPr>
          <w:p>
            <w:pPr>
              <w:pStyle w:val="707"/>
              <w:pBdr/>
              <w:spacing/>
              <w:ind/>
              <w:rPr/>
            </w:pPr>
            <w:r>
              <w:rPr>
                <w:rStyle w:val="708"/>
              </w:rPr>
              <w:t xml:space="preserve">~40% at 600nm</w:t>
            </w:r>
            <w:r/>
          </w:p>
        </w:tc>
        <w:tc>
          <w:tcPr>
            <w:tcBorders>
              <w:top w:val="single" w:color="dddddd" w:sz="6" w:space="0"/>
            </w:tcBorders>
            <w:tcW w:w="0" w:type="auto"/>
            <w:vAlign w:val="center"/>
            <w:textDirection w:val="lrTb"/>
            <w:noWrap w:val="false"/>
          </w:tcPr>
          <w:p>
            <w:pPr>
              <w:pStyle w:val="707"/>
              <w:pBdr/>
              <w:spacing/>
              <w:ind/>
              <w:rPr/>
            </w:pPr>
            <w:r>
              <w:rPr>
                <w:rStyle w:val="708"/>
              </w:rPr>
              <w:t xml:space="preserve">~$100-150</w:t>
            </w:r>
            <w:r/>
          </w:p>
        </w:tc>
        <w:tc>
          <w:tcPr>
            <w:tcBorders>
              <w:top w:val="single" w:color="dddddd" w:sz="6" w:space="0"/>
            </w:tcBorders>
            <w:tcW w:w="0" w:type="auto"/>
            <w:vAlign w:val="center"/>
            <w:textDirection w:val="lrTb"/>
            <w:noWrap w:val="false"/>
          </w:tcPr>
          <w:p>
            <w:pPr>
              <w:pStyle w:val="707"/>
              <w:pBdr/>
              <w:spacing/>
              <w:ind/>
              <w:rPr/>
            </w:pPr>
            <w:r>
              <w:rPr>
                <w:rStyle w:val="708"/>
              </w:rPr>
              <w:t xml:space="preserve">Hamamatsu shop</w:t>
            </w:r>
            <w:r/>
          </w:p>
        </w:tc>
      </w:tr>
    </w:tbl>
    <w:p>
      <w:pPr>
        <w:pBdr/>
        <w:spacing/>
        <w:ind/>
        <w:rPr/>
      </w:pPr>
      <w:r/>
      <w:r/>
    </w:p>
    <w:p>
      <w:pPr>
        <w:pStyle w:val="691"/>
        <w:pBdr/>
        <w:spacing/>
        <w:ind/>
        <w:rPr/>
      </w:pPr>
      <w:r>
        <w:rPr>
          <w:rStyle w:val="692"/>
        </w:rPr>
        <w:t xml:space="preserve">The S14420 series is an MPPC for the visible to near infrared region. It provides higher photon detection efficiency than the previous product (S13360 series) in the visible to near infrared region.</w:t>
      </w:r>
      <w:r/>
    </w:p>
    <w:p>
      <w:pPr>
        <w:pStyle w:val="691"/>
        <w:pBdr/>
        <w:spacing/>
        <w:ind/>
        <w:rPr/>
      </w:pPr>
      <w:r>
        <w:rPr>
          <w:rStyle w:val="692"/>
          <w:b/>
          <w:bCs/>
        </w:rPr>
        <w:t xml:space="preserve">Advantages:</w:t>
      </w:r>
      <w:r>
        <w:rPr>
          <w:rStyle w:val="692"/>
        </w:rPr>
        <w:t xml:space="preserve"> Lower dark count, better availability, excellent documentation</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 name="Line 3"/>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Popular Choice: onsemi C-Series / J-Series (Blue-optimized but proven with CsI)</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gridCol w:w="1134"/>
        <w:gridCol w:w="1134"/>
      </w:tblGrid>
      <w:tr>
        <w:trPr/>
        <w:tc>
          <w:tcPr>
            <w:tcBorders>
              <w:bottom w:val="single" w:color="dddddd" w:sz="12" w:space="0"/>
            </w:tcBorders>
            <w:tcW w:w="0" w:type="auto"/>
            <w:vAlign w:val="center"/>
            <w:textDirection w:val="lrTb"/>
            <w:noWrap w:val="false"/>
          </w:tcPr>
          <w:p>
            <w:pPr>
              <w:pStyle w:val="705"/>
              <w:pBdr/>
              <w:spacing/>
              <w:ind/>
              <w:rPr/>
            </w:pPr>
            <w:r>
              <w:rPr>
                <w:rStyle w:val="706"/>
                <w:b/>
                <w:bCs/>
              </w:rPr>
              <w:t xml:space="preserve">Model</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Size</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Peak λ</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PDE at 550nm</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Price</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Buy From</w:t>
            </w:r>
            <w:r/>
          </w:p>
        </w:tc>
      </w:tr>
      <w:tr>
        <w:trPr/>
        <w:tc>
          <w:tcPr>
            <w:tcBorders>
              <w:top w:val="single" w:color="dddddd" w:sz="6" w:space="0"/>
            </w:tcBorders>
            <w:tcW w:w="0" w:type="auto"/>
            <w:vAlign w:val="center"/>
            <w:textDirection w:val="lrTb"/>
            <w:noWrap w:val="false"/>
          </w:tcPr>
          <w:p>
            <w:pPr>
              <w:pStyle w:val="707"/>
              <w:pBdr/>
              <w:spacing/>
              <w:ind/>
              <w:rPr/>
            </w:pPr>
            <w:r>
              <w:rPr>
                <w:rStyle w:val="708"/>
                <w:b/>
                <w:bCs/>
              </w:rPr>
              <w:t xml:space="preserve">MICROFC-60035-SMT</w:t>
            </w:r>
            <w:r/>
          </w:p>
        </w:tc>
        <w:tc>
          <w:tcPr>
            <w:tcBorders>
              <w:top w:val="single" w:color="dddddd" w:sz="6" w:space="0"/>
            </w:tcBorders>
            <w:tcW w:w="0" w:type="auto"/>
            <w:vAlign w:val="center"/>
            <w:textDirection w:val="lrTb"/>
            <w:noWrap w:val="false"/>
          </w:tcPr>
          <w:p>
            <w:pPr>
              <w:pStyle w:val="707"/>
              <w:pBdr/>
              <w:spacing/>
              <w:ind/>
              <w:rPr/>
            </w:pPr>
            <w:r>
              <w:rPr>
                <w:rStyle w:val="708"/>
              </w:rPr>
              <w:t xml:space="preserve">6×6mm</w:t>
            </w:r>
            <w:r/>
          </w:p>
        </w:tc>
        <w:tc>
          <w:tcPr>
            <w:tcBorders>
              <w:top w:val="single" w:color="dddddd" w:sz="6" w:space="0"/>
            </w:tcBorders>
            <w:tcW w:w="0" w:type="auto"/>
            <w:vAlign w:val="center"/>
            <w:textDirection w:val="lrTb"/>
            <w:noWrap w:val="false"/>
          </w:tcPr>
          <w:p>
            <w:pPr>
              <w:pStyle w:val="707"/>
              <w:pBdr/>
              <w:spacing/>
              <w:ind/>
              <w:rPr/>
            </w:pPr>
            <w:r>
              <w:rPr>
                <w:rStyle w:val="708"/>
              </w:rPr>
              <w:t xml:space="preserve">420nm</w:t>
            </w:r>
            <w:r/>
          </w:p>
        </w:tc>
        <w:tc>
          <w:tcPr>
            <w:tcBorders>
              <w:top w:val="single" w:color="dddddd" w:sz="6" w:space="0"/>
            </w:tcBorders>
            <w:tcW w:w="0" w:type="auto"/>
            <w:vAlign w:val="center"/>
            <w:textDirection w:val="lrTb"/>
            <w:noWrap w:val="false"/>
          </w:tcPr>
          <w:p>
            <w:pPr>
              <w:pStyle w:val="707"/>
              <w:pBdr/>
              <w:spacing/>
              <w:ind/>
              <w:rPr/>
            </w:pPr>
            <w:r>
              <w:rPr>
                <w:rStyle w:val="708"/>
              </w:rPr>
              <w:t xml:space="preserve">~28%</w:t>
            </w:r>
            <w:r/>
          </w:p>
        </w:tc>
        <w:tc>
          <w:tcPr>
            <w:tcBorders>
              <w:top w:val="single" w:color="dddddd" w:sz="6" w:space="0"/>
            </w:tcBorders>
            <w:tcW w:w="0" w:type="auto"/>
            <w:vAlign w:val="center"/>
            <w:textDirection w:val="lrTb"/>
            <w:noWrap w:val="false"/>
          </w:tcPr>
          <w:p>
            <w:pPr>
              <w:pStyle w:val="707"/>
              <w:pBdr/>
              <w:spacing/>
              <w:ind/>
              <w:rPr/>
            </w:pPr>
            <w:r>
              <w:rPr>
                <w:rStyle w:val="708"/>
              </w:rPr>
              <w:t xml:space="preserve">~$23</w:t>
            </w:r>
            <w:r/>
          </w:p>
        </w:tc>
        <w:tc>
          <w:tcPr>
            <w:tcBorders>
              <w:top w:val="single" w:color="dddddd" w:sz="6" w:space="0"/>
            </w:tcBorders>
            <w:tcW w:w="0" w:type="auto"/>
            <w:vAlign w:val="center"/>
            <w:textDirection w:val="lrTb"/>
            <w:noWrap w:val="false"/>
          </w:tcPr>
          <w:p>
            <w:pPr>
              <w:pStyle w:val="707"/>
              <w:pBdr/>
              <w:spacing/>
              <w:ind/>
              <w:rPr/>
            </w:pPr>
            <w:r>
              <w:rPr>
                <w:rStyle w:val="708"/>
              </w:rPr>
              <w:t xml:space="preserve">DigiKey, Mouser</w:t>
            </w:r>
            <w:r/>
          </w:p>
        </w:tc>
      </w:tr>
      <w:tr>
        <w:trPr/>
        <w:tc>
          <w:tcPr>
            <w:tcBorders>
              <w:top w:val="single" w:color="dddddd" w:sz="6" w:space="0"/>
            </w:tcBorders>
            <w:tcW w:w="0" w:type="auto"/>
            <w:vAlign w:val="center"/>
            <w:textDirection w:val="lrTb"/>
            <w:noWrap w:val="false"/>
          </w:tcPr>
          <w:p>
            <w:pPr>
              <w:pStyle w:val="707"/>
              <w:pBdr/>
              <w:spacing/>
              <w:ind/>
              <w:rPr/>
            </w:pPr>
            <w:r>
              <w:rPr>
                <w:rStyle w:val="708"/>
                <w:b/>
                <w:bCs/>
              </w:rPr>
              <w:t xml:space="preserve">MICROFJ-60035-TSV</w:t>
            </w:r>
            <w:r/>
          </w:p>
        </w:tc>
        <w:tc>
          <w:tcPr>
            <w:tcBorders>
              <w:top w:val="single" w:color="dddddd" w:sz="6" w:space="0"/>
            </w:tcBorders>
            <w:tcW w:w="0" w:type="auto"/>
            <w:vAlign w:val="center"/>
            <w:textDirection w:val="lrTb"/>
            <w:noWrap w:val="false"/>
          </w:tcPr>
          <w:p>
            <w:pPr>
              <w:pStyle w:val="707"/>
              <w:pBdr/>
              <w:spacing/>
              <w:ind/>
              <w:rPr/>
            </w:pPr>
            <w:r>
              <w:rPr>
                <w:rStyle w:val="708"/>
              </w:rPr>
              <w:t xml:space="preserve">6×6mm</w:t>
            </w:r>
            <w:r/>
          </w:p>
        </w:tc>
        <w:tc>
          <w:tcPr>
            <w:tcBorders>
              <w:top w:val="single" w:color="dddddd" w:sz="6" w:space="0"/>
            </w:tcBorders>
            <w:tcW w:w="0" w:type="auto"/>
            <w:vAlign w:val="center"/>
            <w:textDirection w:val="lrTb"/>
            <w:noWrap w:val="false"/>
          </w:tcPr>
          <w:p>
            <w:pPr>
              <w:pStyle w:val="707"/>
              <w:pBdr/>
              <w:spacing/>
              <w:ind/>
              <w:rPr/>
            </w:pPr>
            <w:r>
              <w:rPr>
                <w:rStyle w:val="708"/>
              </w:rPr>
              <w:t xml:space="preserve">420nm</w:t>
            </w:r>
            <w:r/>
          </w:p>
        </w:tc>
        <w:tc>
          <w:tcPr>
            <w:tcBorders>
              <w:top w:val="single" w:color="dddddd" w:sz="6" w:space="0"/>
            </w:tcBorders>
            <w:tcW w:w="0" w:type="auto"/>
            <w:vAlign w:val="center"/>
            <w:textDirection w:val="lrTb"/>
            <w:noWrap w:val="false"/>
          </w:tcPr>
          <w:p>
            <w:pPr>
              <w:pStyle w:val="707"/>
              <w:pBdr/>
              <w:spacing/>
              <w:ind/>
              <w:rPr/>
            </w:pPr>
            <w:r>
              <w:rPr>
                <w:rStyle w:val="708"/>
              </w:rPr>
              <w:t xml:space="preserve">~30%</w:t>
            </w:r>
            <w:r/>
          </w:p>
        </w:tc>
        <w:tc>
          <w:tcPr>
            <w:tcBorders>
              <w:top w:val="single" w:color="dddddd" w:sz="6" w:space="0"/>
            </w:tcBorders>
            <w:tcW w:w="0" w:type="auto"/>
            <w:vAlign w:val="center"/>
            <w:textDirection w:val="lrTb"/>
            <w:noWrap w:val="false"/>
          </w:tcPr>
          <w:p>
            <w:pPr>
              <w:pStyle w:val="707"/>
              <w:pBdr/>
              <w:spacing/>
              <w:ind/>
              <w:rPr/>
            </w:pPr>
            <w:r>
              <w:rPr>
                <w:rStyle w:val="708"/>
              </w:rPr>
              <w:t xml:space="preserve">~$27</w:t>
            </w:r>
            <w:r/>
          </w:p>
        </w:tc>
        <w:tc>
          <w:tcPr>
            <w:tcBorders>
              <w:top w:val="single" w:color="dddddd" w:sz="6" w:space="0"/>
            </w:tcBorders>
            <w:tcW w:w="0" w:type="auto"/>
            <w:vAlign w:val="center"/>
            <w:textDirection w:val="lrTb"/>
            <w:noWrap w:val="false"/>
          </w:tcPr>
          <w:p>
            <w:pPr>
              <w:pStyle w:val="707"/>
              <w:pBdr/>
              <w:spacing/>
              <w:ind/>
              <w:rPr/>
            </w:pPr>
            <w:r>
              <w:rPr>
                <w:rStyle w:val="708"/>
              </w:rPr>
              <w:t xml:space="preserve">DigiKey, Mouser</w:t>
            </w:r>
            <w:r/>
          </w:p>
        </w:tc>
      </w:tr>
    </w:tbl>
    <w:p>
      <w:pPr>
        <w:pBdr/>
        <w:spacing/>
        <w:ind/>
        <w:rPr/>
      </w:pPr>
      <w:r/>
      <w:r/>
    </w:p>
    <w:p>
      <w:pPr>
        <w:pStyle w:val="691"/>
        <w:pBdr/>
        <w:spacing/>
        <w:ind/>
        <w:rPr/>
      </w:pPr>
      <w:r>
        <w:rPr>
          <w:rStyle w:val="692"/>
        </w:rPr>
        <w:t xml:space="preserve">SensL J-series 60035 SiPM coupled to CsI(Tl) crystal detected distinct and well-resolved 5.9 keV X-ray peaks from Fe-55 — proven to work well with CsI(Tl) despite spectral mismatch.</w:t>
      </w:r>
      <w:r/>
    </w:p>
    <w:p>
      <w:pPr>
        <w:pStyle w:val="691"/>
        <w:pBdr/>
        <w:spacing/>
        <w:ind/>
        <w:rPr/>
      </w:pPr>
      <w:r>
        <w:rPr>
          <w:rStyle w:val="692"/>
        </w:rPr>
        <w:t xml:space="preserve">J-Series sensors achieve PDE of 50% with sensitivity extending down into the UV, industry-leading low dark count rates of 50 kHz/mm².</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3" name="Line 4"/>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Standard Blue-Optimized: Hamamatsu S14160 Series</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gridCol w:w="1134"/>
      </w:tblGrid>
      <w:tr>
        <w:trPr/>
        <w:tc>
          <w:tcPr>
            <w:tcBorders>
              <w:bottom w:val="single" w:color="dddddd" w:sz="12" w:space="0"/>
            </w:tcBorders>
            <w:tcW w:w="0" w:type="auto"/>
            <w:vAlign w:val="center"/>
            <w:textDirection w:val="lrTb"/>
            <w:noWrap w:val="false"/>
          </w:tcPr>
          <w:p>
            <w:pPr>
              <w:pStyle w:val="705"/>
              <w:pBdr/>
              <w:spacing/>
              <w:ind/>
              <w:rPr/>
            </w:pPr>
            <w:r>
              <w:rPr>
                <w:rStyle w:val="706"/>
                <w:b/>
                <w:bCs/>
              </w:rPr>
              <w:t xml:space="preserve">Model</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Size</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Peak λ</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Notes</w:t>
            </w:r>
            <w:r/>
          </w:p>
        </w:tc>
        <w:tc>
          <w:tcPr>
            <w:tcBorders>
              <w:bottom w:val="single" w:color="dddddd" w:sz="12" w:space="0"/>
            </w:tcBorders>
            <w:tcW w:w="0" w:type="auto"/>
            <w:vAlign w:val="center"/>
            <w:textDirection w:val="lrTb"/>
            <w:noWrap w:val="false"/>
          </w:tcPr>
          <w:p>
            <w:pPr>
              <w:pStyle w:val="705"/>
              <w:pBdr/>
              <w:spacing/>
              <w:ind/>
              <w:rPr/>
            </w:pPr>
            <w:r>
              <w:rPr>
                <w:rStyle w:val="706"/>
                <w:b/>
                <w:bCs/>
              </w:rPr>
              <w:t xml:space="preserve">Price</w:t>
            </w:r>
            <w:r/>
          </w:p>
        </w:tc>
      </w:tr>
      <w:tr>
        <w:trPr/>
        <w:tc>
          <w:tcPr>
            <w:tcBorders>
              <w:top w:val="single" w:color="dddddd" w:sz="6" w:space="0"/>
            </w:tcBorders>
            <w:tcW w:w="0" w:type="auto"/>
            <w:vAlign w:val="center"/>
            <w:textDirection w:val="lrTb"/>
            <w:noWrap w:val="false"/>
          </w:tcPr>
          <w:p>
            <w:pPr>
              <w:pStyle w:val="707"/>
              <w:pBdr/>
              <w:spacing/>
              <w:ind/>
              <w:rPr/>
            </w:pPr>
            <w:r>
              <w:rPr>
                <w:rStyle w:val="708"/>
                <w:b/>
                <w:bCs/>
              </w:rPr>
              <w:t xml:space="preserve">S14160-6050HS</w:t>
            </w:r>
            <w:r/>
          </w:p>
        </w:tc>
        <w:tc>
          <w:tcPr>
            <w:tcBorders>
              <w:top w:val="single" w:color="dddddd" w:sz="6" w:space="0"/>
            </w:tcBorders>
            <w:tcW w:w="0" w:type="auto"/>
            <w:vAlign w:val="center"/>
            <w:textDirection w:val="lrTb"/>
            <w:noWrap w:val="false"/>
          </w:tcPr>
          <w:p>
            <w:pPr>
              <w:pStyle w:val="707"/>
              <w:pBdr/>
              <w:spacing/>
              <w:ind/>
              <w:rPr/>
            </w:pPr>
            <w:r>
              <w:rPr>
                <w:rStyle w:val="708"/>
              </w:rPr>
              <w:t xml:space="preserve">6×6mm</w:t>
            </w:r>
            <w:r/>
          </w:p>
        </w:tc>
        <w:tc>
          <w:tcPr>
            <w:tcBorders>
              <w:top w:val="single" w:color="dddddd" w:sz="6" w:space="0"/>
            </w:tcBorders>
            <w:tcW w:w="0" w:type="auto"/>
            <w:vAlign w:val="center"/>
            <w:textDirection w:val="lrTb"/>
            <w:noWrap w:val="false"/>
          </w:tcPr>
          <w:p>
            <w:pPr>
              <w:pStyle w:val="707"/>
              <w:pBdr/>
              <w:spacing/>
              <w:ind/>
              <w:rPr/>
            </w:pPr>
            <w:r>
              <w:rPr>
                <w:rStyle w:val="708"/>
              </w:rPr>
              <w:t xml:space="preserve">~450nm</w:t>
            </w:r>
            <w:r/>
          </w:p>
        </w:tc>
        <w:tc>
          <w:tcPr>
            <w:tcBorders>
              <w:top w:val="single" w:color="dddddd" w:sz="6" w:space="0"/>
            </w:tcBorders>
            <w:tcW w:w="0" w:type="auto"/>
            <w:vAlign w:val="center"/>
            <w:textDirection w:val="lrTb"/>
            <w:noWrap w:val="false"/>
          </w:tcPr>
          <w:p>
            <w:pPr>
              <w:pStyle w:val="707"/>
              <w:pBdr/>
              <w:spacing/>
              <w:ind/>
              <w:rPr/>
            </w:pPr>
            <w:r>
              <w:rPr>
                <w:rStyle w:val="708"/>
              </w:rPr>
              <w:t xml:space="preserve">Higher PDE 50% at λp, lower operation voltage VBR=38V</w:t>
            </w:r>
            <w:r/>
          </w:p>
        </w:tc>
        <w:tc>
          <w:tcPr>
            <w:tcBorders>
              <w:top w:val="single" w:color="dddddd" w:sz="6" w:space="0"/>
            </w:tcBorders>
            <w:tcW w:w="0" w:type="auto"/>
            <w:vAlign w:val="center"/>
            <w:textDirection w:val="lrTb"/>
            <w:noWrap w:val="false"/>
          </w:tcPr>
          <w:p>
            <w:pPr>
              <w:pStyle w:val="707"/>
              <w:pBdr/>
              <w:spacing/>
              <w:ind/>
              <w:rPr/>
            </w:pPr>
            <w:r>
              <w:rPr>
                <w:rStyle w:val="708"/>
              </w:rPr>
              <w:t xml:space="preserve">~$80</w:t>
            </w:r>
            <w:r/>
          </w:p>
        </w:tc>
      </w:tr>
    </w:tbl>
    <w:p>
      <w:pPr>
        <w:pBdr/>
        <w:spacing/>
        <w:ind/>
        <w:rPr/>
      </w:pPr>
      <w:r/>
      <w:r/>
    </w:p>
    <w:p>
      <w:pPr>
        <w:pStyle w:val="691"/>
        <w:pBdr/>
        <w:spacing/>
        <w:ind/>
        <w:rPr/>
      </w:pPr>
      <w:r>
        <w:rPr>
          <w:rStyle w:val="692"/>
        </w:rPr>
        <w:t xml:space="preserve">S14160 achieved best thresholds at +2.5V overvoltage. CsI(Tl) light yield was 6× higher than BGO — the high light output of CsI(Tl) compensates for spectral mismatch.</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4" name="Line 5"/>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695"/>
        <w:pBdr/>
        <w:spacing/>
        <w:ind/>
        <w:rPr/>
      </w:pPr>
      <w:r>
        <w:rPr>
          <w:rStyle w:val="698"/>
        </w:rPr>
        <w:t xml:space="preserve">My Recommendation</w:t>
      </w:r>
      <w:r/>
    </w:p>
    <w:p>
      <w:pPr>
        <w:pStyle w:val="691"/>
        <w:pBdr/>
        <w:spacing/>
        <w:ind/>
        <w:rPr/>
      </w:pPr>
      <w:r>
        <w:rPr>
          <w:rStyle w:val="692"/>
        </w:rPr>
        <w:t xml:space="preserve">For your DIY CsI(Tl) project, I'd suggest one of these approaches:</w:t>
      </w:r>
      <w:r/>
    </w:p>
    <w:p>
      <w:pPr>
        <w:pStyle w:val="691"/>
        <w:pBdr/>
        <w:spacing/>
        <w:ind/>
        <w:rPr/>
      </w:pPr>
      <w:r>
        <w:rPr>
          <w:rStyle w:val="692"/>
          <w:b/>
          <w:bCs/>
        </w:rPr>
        <w:t xml:space="preserve">Option 1: Best spectral match</w:t>
      </w:r>
      <w:r/>
    </w:p>
    <w:p>
      <w:pPr>
        <w:pStyle w:val="709"/>
        <w:numPr>
          <w:ilvl w:val="0"/>
          <w:numId w:val="1"/>
        </w:numPr>
        <w:pBdr/>
        <w:spacing w:after="100" w:afterAutospacing="1" w:before="100" w:beforeAutospacing="1"/>
        <w:ind/>
        <w:rPr/>
      </w:pPr>
      <w:r>
        <w:rPr>
          <w:rStyle w:val="710"/>
          <w:b/>
          <w:bCs/>
        </w:rPr>
        <w:t xml:space="preserve">First Sensor SiPM-RGB4S-SMD</w:t>
      </w:r>
      <w:r>
        <w:rPr>
          <w:rStyle w:val="710"/>
        </w:rPr>
        <w:t xml:space="preserve"> from Mouser</w:t>
      </w:r>
      <w:r/>
    </w:p>
    <w:p>
      <w:pPr>
        <w:pStyle w:val="709"/>
        <w:numPr>
          <w:ilvl w:val="0"/>
          <w:numId w:val="1"/>
        </w:numPr>
        <w:pBdr/>
        <w:spacing w:after="100" w:afterAutospacing="1" w:before="100" w:beforeAutospacing="1"/>
        <w:ind/>
        <w:rPr/>
      </w:pPr>
      <w:r>
        <w:rPr>
          <w:rStyle w:val="710"/>
        </w:rPr>
        <w:t xml:space="preserve">Or contact </w:t>
      </w:r>
      <w:r>
        <w:rPr>
          <w:rStyle w:val="710"/>
          <w:b/>
          <w:bCs/>
        </w:rPr>
        <w:t xml:space="preserve">AdvanSiD</w:t>
      </w:r>
      <w:r>
        <w:rPr>
          <w:rStyle w:val="710"/>
        </w:rPr>
        <w:t xml:space="preserve"> directly for ASD-RGB4S-P</w:t>
      </w:r>
      <w:r/>
    </w:p>
    <w:p>
      <w:pPr>
        <w:pStyle w:val="709"/>
        <w:numPr>
          <w:ilvl w:val="0"/>
          <w:numId w:val="1"/>
        </w:numPr>
        <w:pBdr/>
        <w:spacing w:after="100" w:afterAutospacing="1" w:before="100" w:beforeAutospacing="1"/>
        <w:ind/>
        <w:rPr/>
      </w:pPr>
      <w:r>
        <w:rPr>
          <w:rStyle w:val="710"/>
        </w:rPr>
        <w:t xml:space="preserve">Available sizes: 1×1mm², 3×3mm², 4×4mm²</w:t>
      </w:r>
      <w:r/>
    </w:p>
    <w:p>
      <w:pPr>
        <w:pStyle w:val="691"/>
        <w:pBdr/>
        <w:spacing/>
        <w:ind/>
        <w:rPr/>
      </w:pPr>
      <w:r>
        <w:rPr>
          <w:rStyle w:val="692"/>
          <w:b/>
          <w:bCs/>
        </w:rPr>
        <w:t xml:space="preserve">Option 2: Best overall value + proven performance</w:t>
      </w:r>
      <w:r/>
    </w:p>
    <w:p>
      <w:pPr>
        <w:pStyle w:val="709"/>
        <w:numPr>
          <w:ilvl w:val="0"/>
          <w:numId w:val="1"/>
        </w:numPr>
        <w:pBdr/>
        <w:spacing w:after="100" w:afterAutospacing="1" w:before="100" w:beforeAutospacing="1"/>
        <w:ind/>
        <w:rPr/>
      </w:pPr>
      <w:r>
        <w:rPr>
          <w:rStyle w:val="710"/>
          <w:b/>
          <w:bCs/>
        </w:rPr>
        <w:t xml:space="preserve">onsemi MICROFC-60035-SMT</w:t>
      </w:r>
      <w:r>
        <w:rPr>
          <w:rStyle w:val="710"/>
        </w:rPr>
        <w:t xml:space="preserve"> (6×6mm, ~$23 from DigiKey)</w:t>
      </w:r>
      <w:r/>
    </w:p>
    <w:p>
      <w:pPr>
        <w:pStyle w:val="709"/>
        <w:numPr>
          <w:ilvl w:val="0"/>
          <w:numId w:val="1"/>
        </w:numPr>
        <w:pBdr/>
        <w:spacing w:after="100" w:afterAutospacing="1" w:before="100" w:beforeAutospacing="1"/>
        <w:ind/>
        <w:rPr/>
      </w:pPr>
      <w:r>
        <w:rPr>
          <w:rStyle w:val="710"/>
        </w:rPr>
        <w:t xml:space="preserve">Widely used, well-documented, proven with CsI(Tl)</w:t>
      </w:r>
      <w:r/>
    </w:p>
    <w:p>
      <w:pPr>
        <w:pStyle w:val="709"/>
        <w:numPr>
          <w:ilvl w:val="0"/>
          <w:numId w:val="1"/>
        </w:numPr>
        <w:pBdr/>
        <w:spacing w:after="100" w:afterAutospacing="1" w:before="100" w:beforeAutospacing="1"/>
        <w:ind/>
        <w:rPr/>
      </w:pPr>
      <w:r>
        <w:rPr>
          <w:rStyle w:val="710"/>
        </w:rPr>
        <w:t xml:space="preserve">Lower noise than RGB types</w:t>
      </w:r>
      <w:r/>
    </w:p>
    <w:p>
      <w:pPr>
        <w:pStyle w:val="691"/>
        <w:pBdr/>
        <w:spacing/>
        <w:ind/>
        <w:rPr/>
      </w:pPr>
      <w:r>
        <w:rPr>
          <w:rStyle w:val="692"/>
          <w:b/>
          <w:bCs/>
        </w:rPr>
        <w:t xml:space="preserve">Option 3: Best NIR/visible sensitivity from major supplier</w:t>
      </w:r>
      <w:r/>
    </w:p>
    <w:p>
      <w:pPr>
        <w:pStyle w:val="709"/>
        <w:numPr>
          <w:ilvl w:val="0"/>
          <w:numId w:val="1"/>
        </w:numPr>
        <w:pBdr/>
        <w:spacing w:after="100" w:afterAutospacing="1" w:before="100" w:beforeAutospacing="1"/>
        <w:ind/>
        <w:rPr/>
      </w:pPr>
      <w:r>
        <w:rPr>
          <w:rStyle w:val="710"/>
          <w:b/>
          <w:bCs/>
        </w:rPr>
        <w:t xml:space="preserve">Hamamatsu S14420-3050MG</w:t>
      </w:r>
      <w:r>
        <w:rPr>
          <w:rStyle w:val="710"/>
        </w:rPr>
        <w:t xml:space="preserve"> or larger</w:t>
      </w:r>
      <w:r/>
    </w:p>
    <w:p>
      <w:pPr>
        <w:pStyle w:val="709"/>
        <w:numPr>
          <w:ilvl w:val="0"/>
          <w:numId w:val="1"/>
        </w:numPr>
        <w:pBdr/>
        <w:spacing w:after="100" w:afterAutospacing="1" w:before="100" w:beforeAutospacing="1"/>
        <w:ind/>
        <w:rPr/>
      </w:pPr>
      <w:r>
        <w:rPr>
          <w:rStyle w:val="710"/>
        </w:rPr>
        <w:t xml:space="preserve">High PDE at 600nm, low crosstalk, low afterpulses</w:t>
      </w:r>
      <w:r/>
    </w:p>
    <w:p>
      <w:pPr>
        <w:pStyle w:val="709"/>
        <w:numPr>
          <w:ilvl w:val="0"/>
          <w:numId w:val="1"/>
        </w:numPr>
        <w:pBdr/>
        <w:spacing w:after="100" w:afterAutospacing="1" w:before="100" w:beforeAutospacing="1"/>
        <w:ind/>
        <w:rPr/>
      </w:pPr>
      <w:r>
        <w:rPr>
          <w:rStyle w:val="710"/>
        </w:rPr>
        <w:t xml:space="preserve">Available directly from Hamamatsu shop, ships 4 days after order confirmation</w:t>
      </w:r>
      <w:r/>
    </w:p>
    <w:p>
      <w:pPr>
        <w:pStyle w:val="691"/>
        <w:pBdr/>
        <w:spacing/>
        <w:ind/>
        <w:rPr/>
      </w:pPr>
      <w:r>
        <w:rPr>
          <w:rStyle w:val="692"/>
        </w:rPr>
        <w:t xml:space="preserve">Given your experience with Safecast hardware, the </w:t>
      </w:r>
      <w:r>
        <w:rPr>
          <w:rStyle w:val="692"/>
          <w:b/>
          <w:bCs/>
        </w:rPr>
        <w:t xml:space="preserve">onsemi MICROFC-60035-SMT</w:t>
      </w:r>
      <w:r>
        <w:rPr>
          <w:rStyle w:val="692"/>
        </w:rPr>
        <w:t xml:space="preserve"> is probably the most practical choic</w:t>
      </w:r>
      <w:r>
        <w:rPr>
          <w:rStyle w:val="692"/>
        </w:rPr>
        <w:t xml:space="preserve">e — it's affordable, readily available, well-documented, and despite the spectral mismatch, CsI(Tl)'s exceptional light yield (54 photons/keV) means you'll still get excellent results. The 6×6mm size also gives better coverage of your 10×10mm crystal face.</w:t>
      </w:r>
      <w:r/>
    </w:p>
    <w:p>
      <w:pPr>
        <w:pStyle w:val="691"/>
        <w:pBdr/>
        <w:spacing/>
        <w:ind/>
        <w:rPr/>
      </w:pPr>
      <w:r>
        <w:rPr>
          <w:rStyle w:val="692"/>
        </w:rPr>
        <w:t xml:space="preserve">Would you like me to look into specific readout circuits optimized for any of these SiPMs?</w:t>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panose1 w:val="020B050204050402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67B179">
    <w:pPr>
      <w:pStyle w:val="176"/>
      <w:pBdr/>
      <w:spacing/>
      <w:ind/>
      <w:jc w:val="right"/>
      <w:rPr>
        <w:rFonts w:ascii="Noto Sans" w:hAnsi="Noto Sans" w:cs="Noto Sans"/>
      </w:rPr>
    </w:pPr>
    <w:r>
      <w:rPr>
        <w:rFonts w:ascii="Noto Sans" w:hAnsi="Noto Sans" w:eastAsia="Noto Sans" w:cs="Noto Sans"/>
      </w:rPr>
    </w:r>
    <w:r>
      <w:rPr>
        <w:rFonts w:ascii="Noto Sans" w:hAnsi="Noto Sans" w:eastAsia="Noto Sans" w:cs="Noto Sans"/>
        <w:lang w:val="en-US"/>
      </w:rPr>
      <w:fldChar w:fldCharType="begin"/>
    </w:r>
    <w:r>
      <w:rPr>
        <w:rFonts w:ascii="Noto Sans" w:hAnsi="Noto Sans" w:eastAsia="Noto Sans" w:cs="Noto Sans"/>
        <w:lang w:val="en-US"/>
      </w:rPr>
      <w:instrText xml:space="preserve">TIME \@ "MMMM d, yyyy"</w:instrText>
    </w:r>
    <w:r>
      <w:rPr>
        <w:rFonts w:ascii="Noto Sans" w:hAnsi="Noto Sans" w:eastAsia="Noto Sans" w:cs="Noto Sans"/>
        <w:lang w:val="en-US"/>
      </w:rPr>
      <w:fldChar w:fldCharType="separate"/>
    </w:r>
    <w:r>
      <w:rPr>
        <w:rFonts w:ascii="Noto Sans" w:hAnsi="Noto Sans" w:eastAsia="Noto Sans" w:cs="Noto Sans"/>
        <w:lang w:val="en-US"/>
      </w:rPr>
      <w:t xml:space="preserve">December 4, 2025</w:t>
    </w:r>
    <w:r>
      <w:rPr>
        <w:rFonts w:ascii="Noto Sans" w:hAnsi="Noto Sans" w:eastAsia="Noto Sans" w:cs="Noto Sans"/>
        <w:lang w:val="en-US"/>
      </w:rPr>
      <w:fldChar w:fldCharType="end"/>
    </w:r>
    <w:r>
      <w:rPr>
        <w:rFonts w:ascii="Noto Sans" w:hAnsi="Noto Sans" w:eastAsia="Noto Sans" w:cs="Noto Sans"/>
      </w:rPr>
    </w:r>
    <w:r>
      <w:rPr>
        <w:rFonts w:ascii="Noto Sans" w:hAnsi="Noto Sans" w:eastAsia="Noto Sans" w:cs="Noto San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4"/>
    <w:next w:val="68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2">
    <w:name w:val="Heading 4"/>
    <w:basedOn w:val="684"/>
    <w:next w:val="68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4"/>
    <w:next w:val="68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4"/>
    <w:next w:val="68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4"/>
    <w:next w:val="68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4"/>
    <w:next w:val="68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4"/>
    <w:next w:val="68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84"/>
    <w:next w:val="68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84"/>
    <w:next w:val="68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4"/>
    <w:next w:val="684"/>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88"/>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rPr>
      <w:rFonts w:eastAsiaTheme="minorEastAsia"/>
      <w:sz w:val="24"/>
      <w:szCs w:val="24"/>
    </w:rPr>
  </w:style>
  <w:style w:type="paragraph" w:styleId="685">
    <w:name w:val="List Paragraph"/>
    <w:basedOn w:val="684"/>
    <w:uiPriority w:val="34"/>
    <w:qFormat/>
    <w:pPr>
      <w:pBdr/>
      <w:spacing/>
      <w:ind w:left="720"/>
      <w:contextualSpacing w:val="true"/>
    </w:pPr>
  </w:style>
  <w:style w:type="character" w:styleId="686">
    <w:name w:val="Hyperlink"/>
    <w:uiPriority w:val="99"/>
    <w:unhideWhenUsed/>
    <w:pPr>
      <w:pBdr/>
      <w:spacing/>
      <w:ind/>
    </w:pPr>
    <w:rPr>
      <w:color w:val="0000ff" w:themeColor="hyperlink"/>
      <w:u w:val="single"/>
    </w:rPr>
  </w:style>
  <w:style w:type="character" w:styleId="687">
    <w:name w:val="footnote reference"/>
    <w:uiPriority w:val="99"/>
    <w:unhideWhenUsed/>
    <w:pPr>
      <w:pBdr/>
      <w:spacing/>
      <w:ind/>
    </w:pPr>
    <w:rPr>
      <w:vertAlign w:val="superscript"/>
    </w:rPr>
  </w:style>
  <w:style w:type="paragraph" w:styleId="688">
    <w:name w:val="footnote text"/>
    <w:basedOn w:val="684"/>
    <w:link w:val="689"/>
    <w:uiPriority w:val="99"/>
    <w:semiHidden/>
    <w:unhideWhenUsed/>
    <w:pPr>
      <w:pBdr/>
      <w:spacing w:after="40" w:line="240" w:lineRule="auto"/>
      <w:ind/>
    </w:pPr>
    <w:rPr>
      <w:sz w:val="18"/>
    </w:rPr>
  </w:style>
  <w:style w:type="character" w:styleId="689" w:customStyle="1">
    <w:name w:val="footnote text character"/>
    <w:link w:val="688"/>
    <w:uiPriority w:val="99"/>
    <w:pPr>
      <w:pBdr/>
      <w:spacing/>
      <w:ind/>
    </w:pPr>
    <w:rPr>
      <w:sz w:val="18"/>
    </w:rPr>
  </w:style>
  <w:style w:type="paragraph" w:styleId="690">
    <w:name w:val="Normal (Web)"/>
    <w:basedOn w:val="684"/>
    <w:uiPriority w:val="99"/>
    <w:semiHidden/>
    <w:unhideWhenUsed/>
    <w:pPr>
      <w:pBdr/>
      <w:spacing w:after="100" w:afterAutospacing="1" w:before="100" w:beforeAutospacing="1"/>
      <w:ind/>
    </w:pPr>
  </w:style>
  <w:style w:type="paragraph" w:styleId="691" w:customStyle="1">
    <w:name w:val="+p-4"/>
    <w:qFormat/>
    <w:pPr>
      <w:pBdr/>
      <w:spacing w:after="150" w:afterAutospacing="1"/>
      <w:ind/>
    </w:pPr>
  </w:style>
  <w:style w:type="character" w:styleId="692" w:customStyle="1">
    <w:name w:val="+p-4-c"/>
    <w:pPr>
      <w:pBdr/>
      <w:spacing/>
      <w:ind/>
    </w:pPr>
    <w:rPr>
      <w:rFonts w:ascii="Arial" w:hAnsi="Arial" w:eastAsia="Arial" w:cs="Arial"/>
      <w:color w:val="000000"/>
    </w:rPr>
  </w:style>
  <w:style w:type="paragraph" w:styleId="693">
    <w:name w:val="Heading 2"/>
    <w:basedOn w:val="684"/>
    <w:link w:val="696"/>
    <w:pPr>
      <w:pBdr/>
      <w:spacing/>
      <w:ind/>
      <w:outlineLvl w:val="1"/>
    </w:pPr>
  </w:style>
  <w:style w:type="paragraph" w:styleId="694">
    <w:name w:val="h2"/>
    <w:basedOn w:val="684"/>
    <w:link w:val="696"/>
    <w:qFormat/>
    <w:pPr>
      <w:pBdr/>
      <w:spacing/>
      <w:ind/>
      <w:outlineLvl w:val="1"/>
    </w:pPr>
  </w:style>
  <w:style w:type="paragraph" w:styleId="695" w:customStyle="1">
    <w:name w:val="+h2-6"/>
    <w:basedOn w:val="694"/>
    <w:qFormat/>
    <w:pPr>
      <w:pBdr/>
      <w:spacing w:after="80" w:afterAutospacing="1" w:before="160" w:beforeAutospacing="1"/>
      <w:ind/>
    </w:pPr>
  </w:style>
  <w:style w:type="character" w:styleId="696" w:customStyle="1">
    <w:name w:val="Title 2 Sign"/>
    <w:link w:val="693"/>
    <w:uiPriority w:val="9"/>
    <w:unhideWhenUsed/>
    <w:pPr>
      <w:pBdr/>
      <w:spacing/>
      <w:ind/>
    </w:pPr>
    <w:rPr>
      <w:b/>
      <w:bCs/>
      <w:sz w:val="36"/>
      <w:szCs w:val="36"/>
    </w:rPr>
  </w:style>
  <w:style w:type="character" w:styleId="697" w:customStyle="1">
    <w:name w:val="h2-c"/>
    <w:basedOn w:val="684"/>
    <w:link w:val="693"/>
    <w:uiPriority w:val="9"/>
    <w:unhideWhenUsed/>
    <w:pPr>
      <w:pBdr/>
      <w:spacing/>
      <w:ind/>
    </w:pPr>
    <w:rPr>
      <w:b/>
      <w:bCs/>
      <w:sz w:val="36"/>
      <w:szCs w:val="36"/>
    </w:rPr>
  </w:style>
  <w:style w:type="character" w:styleId="698" w:customStyle="1">
    <w:name w:val="+h2-6-c"/>
    <w:basedOn w:val="697"/>
    <w:pPr>
      <w:pBdr/>
      <w:spacing/>
      <w:ind/>
    </w:pPr>
    <w:rPr>
      <w:rFonts w:ascii="Arial" w:hAnsi="Arial" w:eastAsia="Arial" w:cs="Arial"/>
      <w:color w:val="0f4761"/>
      <w:sz w:val="32"/>
      <w:szCs w:val="32"/>
    </w:rPr>
  </w:style>
  <w:style w:type="paragraph" w:styleId="699">
    <w:name w:val="Heading 3"/>
    <w:basedOn w:val="684"/>
    <w:link w:val="702"/>
    <w:pPr>
      <w:pBdr/>
      <w:spacing/>
      <w:ind/>
      <w:outlineLvl w:val="2"/>
    </w:pPr>
  </w:style>
  <w:style w:type="paragraph" w:styleId="700">
    <w:name w:val="h3"/>
    <w:basedOn w:val="684"/>
    <w:link w:val="702"/>
    <w:qFormat/>
    <w:pPr>
      <w:pBdr/>
      <w:spacing/>
      <w:ind/>
      <w:outlineLvl w:val="2"/>
    </w:pPr>
  </w:style>
  <w:style w:type="paragraph" w:styleId="701" w:customStyle="1">
    <w:name w:val="+h3-7"/>
    <w:basedOn w:val="700"/>
    <w:qFormat/>
    <w:pPr>
      <w:pBdr/>
      <w:spacing w:after="80" w:afterAutospacing="1" w:before="160" w:beforeAutospacing="1"/>
      <w:ind/>
    </w:pPr>
  </w:style>
  <w:style w:type="character" w:styleId="702" w:customStyle="1">
    <w:name w:val="Title 3 Sign"/>
    <w:link w:val="699"/>
    <w:uiPriority w:val="9"/>
    <w:unhideWhenUsed/>
    <w:pPr>
      <w:pBdr/>
      <w:spacing/>
      <w:ind/>
    </w:pPr>
    <w:rPr>
      <w:b/>
      <w:bCs/>
      <w:sz w:val="27"/>
      <w:szCs w:val="27"/>
    </w:rPr>
  </w:style>
  <w:style w:type="character" w:styleId="703" w:customStyle="1">
    <w:name w:val="h3-c"/>
    <w:basedOn w:val="684"/>
    <w:link w:val="699"/>
    <w:uiPriority w:val="9"/>
    <w:unhideWhenUsed/>
    <w:pPr>
      <w:pBdr/>
      <w:spacing/>
      <w:ind/>
    </w:pPr>
    <w:rPr>
      <w:b/>
      <w:bCs/>
      <w:sz w:val="27"/>
      <w:szCs w:val="27"/>
    </w:rPr>
  </w:style>
  <w:style w:type="character" w:styleId="704" w:customStyle="1">
    <w:name w:val="+h3-7-c"/>
    <w:basedOn w:val="703"/>
    <w:pPr>
      <w:pBdr/>
      <w:spacing/>
      <w:ind/>
    </w:pPr>
    <w:rPr>
      <w:rFonts w:ascii="Arial" w:hAnsi="Arial" w:eastAsia="Arial" w:cs="Arial"/>
      <w:color w:val="0f4761"/>
      <w:sz w:val="28"/>
      <w:szCs w:val="28"/>
    </w:rPr>
  </w:style>
  <w:style w:type="paragraph" w:styleId="705" w:customStyle="1">
    <w:name w:val="+th-11"/>
    <w:qFormat/>
    <w:pPr>
      <w:pBdr/>
      <w:spacing w:after="300" w:afterAutospacing="1" w:before="0" w:beforeAutospacing="1" w:line="240" w:lineRule="auto"/>
      <w:ind/>
      <w:jc w:val="center"/>
    </w:pPr>
  </w:style>
  <w:style w:type="character" w:styleId="706" w:customStyle="1">
    <w:name w:val="+th-11-c"/>
    <w:pPr>
      <w:pBdr/>
      <w:spacing/>
      <w:ind/>
    </w:pPr>
    <w:rPr>
      <w:rFonts w:ascii="Arial" w:hAnsi="Arial" w:eastAsia="Arial" w:cs="Arial"/>
      <w:b/>
      <w:bCs/>
      <w:color w:val="000000"/>
    </w:rPr>
  </w:style>
  <w:style w:type="paragraph" w:styleId="707" w:customStyle="1">
    <w:name w:val="+strong-15"/>
    <w:qFormat/>
    <w:pPr>
      <w:pBdr/>
      <w:spacing w:after="300" w:afterAutospacing="1" w:before="0" w:beforeAutospacing="1" w:line="1" w:lineRule="atLeast"/>
      <w:ind/>
    </w:pPr>
  </w:style>
  <w:style w:type="character" w:styleId="708" w:customStyle="1">
    <w:name w:val="+strong-15-c"/>
    <w:pPr>
      <w:pBdr/>
      <w:spacing/>
      <w:ind/>
    </w:pPr>
    <w:rPr>
      <w:rFonts w:ascii="Arial" w:hAnsi="Arial" w:eastAsia="Arial" w:cs="Arial"/>
      <w:color w:val="000000"/>
    </w:rPr>
  </w:style>
  <w:style w:type="paragraph" w:styleId="709" w:customStyle="1">
    <w:name w:val="ul-18"/>
    <w:qFormat/>
    <w:pPr>
      <w:pBdr/>
      <w:spacing w:after="150" w:afterAutospacing="1"/>
      <w:ind/>
    </w:pPr>
  </w:style>
  <w:style w:type="character" w:styleId="710" w:customStyle="1">
    <w:name w:val="+strong-19-c"/>
    <w:pPr>
      <w:pBdr/>
      <w:spacing/>
      <w:ind/>
    </w:pPr>
    <w:rPr>
      <w:rFonts w:ascii="Arial" w:hAnsi="Arial" w:eastAsia="Arial" w:cs="Arial"/>
      <w:color w:val="00000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2025-12-04T01:47:09Z</dcterms:modified>
</cp:coreProperties>
</file>