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90"/>
        <w:pBdr/>
        <w:spacing/>
        <w:ind/>
        <w:rPr/>
      </w:pPr>
      <w:r/>
      <w:r/>
    </w:p>
    <w:p>
      <w:pPr>
        <w:pStyle w:val="893"/>
        <w:pBdr/>
        <w:spacing/>
        <w:ind/>
        <w:rPr/>
      </w:pPr>
      <w:r>
        <w:rPr>
          <w:rStyle w:val="896"/>
        </w:rPr>
        <w:t xml:space="preserve">Safecast bGeigie Transition: From Nano to Zen</w:t>
      </w:r>
      <w:r/>
    </w:p>
    <w:p>
      <w:pPr>
        <w:pStyle w:val="899"/>
        <w:pBdr/>
        <w:spacing/>
        <w:ind/>
        <w:rPr/>
      </w:pPr>
      <w:r>
        <w:rPr>
          <w:rStyle w:val="902"/>
        </w:rPr>
        <w:t xml:space="preserve">Executive Summary</w:t>
      </w:r>
      <w:r/>
    </w:p>
    <w:p>
      <w:pPr>
        <w:pStyle w:val="903"/>
        <w:pBdr/>
        <w:spacing/>
        <w:ind/>
        <w:rPr/>
      </w:pPr>
      <w:r>
        <w:rPr>
          <w:rStyle w:val="904"/>
        </w:rPr>
        <w:t xml:space="preserve">The transition from the Safecast bGeigieNano to bGeigieZen represents a significant evolution in citizen science radiation monitorin</w:t>
      </w:r>
      <w:r>
        <w:rPr>
          <w:rStyle w:val="904"/>
        </w:rPr>
        <w:t xml:space="preserve">g technology, spanning over a decade of development and community feedback. This transition addresses critical challenges in accessibility, usability, and technological advancement while maintaining the core mission of open-source environmental monitoring.</w:t>
      </w:r>
      <w:hyperlink r:id="rId9" w:tooltip="https://bgeigiezen.safecast.jp" w:history="1">
        <w:r>
          <w:rPr>
            <w:rStyle w:val="907"/>
          </w:rPr>
          <w:t xml:space="preserve">^1</w:t>
        </w:r>
      </w:hyperlink>
      <w:r/>
      <w:hyperlink r:id="rId10" w:tooltip="https://safecast.org/devices/" w:history="1">
        <w:r>
          <w:rPr>
            <w:rStyle w:val="907"/>
          </w:rPr>
          <w:t xml:space="preserve">^3</w:t>
        </w:r>
      </w:hyperlink>
      <w:r/>
      <w:r/>
    </w:p>
    <w:p>
      <w:pPr>
        <w:pStyle w:val="908"/>
        <w:pBdr/>
        <w:spacing/>
        <w:ind/>
        <w:rPr/>
      </w:pPr>
      <w:r>
        <mc:AlternateContent>
          <mc:Choice Requires="wpg">
            <w:drawing>
              <wp:inline xmlns:wp="http://schemas.openxmlformats.org/drawingml/2006/wordprocessingDrawing" distT="0" distB="0" distL="0" distR="0">
                <wp:extent cx="5943600" cy="3962400"/>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672085" name=""/>
                        <pic:cNvPicPr>
                          <a:picLocks noChangeAspect="1"/>
                        </pic:cNvPicPr>
                        <pic:nvPr/>
                      </pic:nvPicPr>
                      <pic:blipFill>
                        <a:blip r:embed="rId11"/>
                        <a:stretch/>
                      </pic:blipFill>
                      <pic:spPr bwMode="auto">
                        <a:xfrm>
                          <a:off x="0" y="0"/>
                          <a:ext cx="5943599" cy="39623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312.00pt;mso-wrap-distance-left:0.00pt;mso-wrap-distance-top:0.00pt;mso-wrap-distance-right:0.00pt;mso-wrap-distance-bottom:0.00pt;z-index:1;" stroked="false">
                <v:imagedata r:id="rId11" o:title=""/>
                <o:lock v:ext="edit" rotation="t"/>
              </v:shape>
            </w:pict>
          </mc:Fallback>
        </mc:AlternateContent>
      </w:r>
      <w:r/>
    </w:p>
    <w:p>
      <w:pPr>
        <w:pStyle w:val="903"/>
        <w:pBdr/>
        <w:spacing/>
        <w:ind/>
        <w:rPr/>
      </w:pPr>
      <w:r>
        <w:rPr>
          <w:rStyle w:val="904"/>
        </w:rPr>
        <w:t xml:space="preserve">Timeline of Safecast bGeigie Device Transition from Nano to Zen (2011-2025)</w:t>
      </w:r>
      <w:r/>
    </w:p>
    <w:p>
      <w:pPr>
        <w:pStyle w:val="899"/>
        <w:pBdr/>
        <w:spacing/>
        <w:ind/>
        <w:rPr/>
      </w:pPr>
      <w:r>
        <w:rPr>
          <w:rStyle w:val="902"/>
          <w:highlight w:val="none"/>
        </w:rPr>
      </w:r>
      <w:r>
        <w:rPr>
          <w:rStyle w:val="902"/>
          <w:highlight w:val="none"/>
        </w:rPr>
      </w:r>
      <w:r>
        <w:rPr>
          <w:rStyle w:val="902"/>
          <w:highlight w:val="none"/>
        </w:rPr>
      </w:r>
    </w:p>
    <w:p>
      <w:pPr>
        <w:pStyle w:val="899"/>
        <w:pBdr/>
        <w:spacing/>
        <w:ind/>
        <w:rPr>
          <w:rStyle w:val="902"/>
          <w:highlight w:val="none"/>
        </w:rPr>
      </w:pPr>
      <w:r>
        <w:rPr>
          <w:rStyle w:val="902"/>
          <w:highlight w:val="none"/>
        </w:rPr>
      </w:r>
      <w:r>
        <w:rPr>
          <w:rStyle w:val="902"/>
          <w:highlight w:val="none"/>
        </w:rPr>
      </w:r>
      <w:r>
        <w:rPr>
          <w:rStyle w:val="902"/>
          <w:highlight w:val="none"/>
        </w:rPr>
      </w:r>
    </w:p>
    <w:p>
      <w:pPr>
        <w:pStyle w:val="899"/>
        <w:pBdr/>
        <w:spacing/>
        <w:ind/>
        <w:rPr>
          <w:rStyle w:val="902"/>
          <w:highlight w:val="none"/>
        </w:rPr>
      </w:pPr>
      <w:r>
        <w:rPr>
          <w:rStyle w:val="902"/>
          <w:highlight w:val="none"/>
        </w:rPr>
      </w:r>
      <w:r>
        <w:rPr>
          <w:rStyle w:val="902"/>
          <w:highlight w:val="none"/>
        </w:rPr>
      </w:r>
      <w:r>
        <w:rPr>
          <w:rStyle w:val="902"/>
          <w:highlight w:val="none"/>
        </w:rPr>
      </w:r>
    </w:p>
    <w:p>
      <w:pPr>
        <w:pStyle w:val="899"/>
        <w:pBdr/>
        <w:spacing/>
        <w:ind/>
        <w:rPr>
          <w:rStyle w:val="902"/>
          <w:highlight w:val="none"/>
        </w:rPr>
      </w:pPr>
      <w:r>
        <w:rPr>
          <w:rStyle w:val="902"/>
          <w:highlight w:val="none"/>
        </w:rPr>
      </w:r>
      <w:r>
        <w:rPr>
          <w:rStyle w:val="902"/>
          <w:highlight w:val="none"/>
        </w:rPr>
      </w:r>
      <w:r>
        <w:rPr>
          <w:rStyle w:val="902"/>
          <w:highlight w:val="none"/>
        </w:rPr>
      </w:r>
    </w:p>
    <w:p>
      <w:pPr>
        <w:pStyle w:val="899"/>
        <w:pBdr/>
        <w:spacing/>
        <w:ind/>
        <w:rPr>
          <w:rStyle w:val="902"/>
        </w:rPr>
      </w:pPr>
      <w:r>
        <w:rPr>
          <w:rStyle w:val="902"/>
        </w:rPr>
        <mc:AlternateContent>
          <mc:Choice Requires="wpg">
            <w:drawing>
              <wp:inline xmlns:wp="http://schemas.openxmlformats.org/drawingml/2006/wordprocessingDrawing" distT="0" distB="0" distL="0" distR="0">
                <wp:extent cx="5943600" cy="3370422"/>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72353" name=""/>
                        <pic:cNvPicPr>
                          <a:picLocks noChangeAspect="1"/>
                        </pic:cNvPicPr>
                        <pic:nvPr/>
                      </pic:nvPicPr>
                      <pic:blipFill>
                        <a:blip r:embed="rId12"/>
                        <a:stretch/>
                      </pic:blipFill>
                      <pic:spPr bwMode="auto">
                        <a:xfrm>
                          <a:off x="0" y="0"/>
                          <a:ext cx="5943599" cy="337042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265.39pt;mso-wrap-distance-left:0.00pt;mso-wrap-distance-top:0.00pt;mso-wrap-distance-right:0.00pt;mso-wrap-distance-bottom:0.00pt;z-index:1;" stroked="false">
                <v:imagedata r:id="rId12" o:title=""/>
                <o:lock v:ext="edit" rotation="t"/>
              </v:shape>
            </w:pict>
          </mc:Fallback>
        </mc:AlternateContent>
      </w:r>
      <w:r>
        <w:rPr>
          <w:rStyle w:val="902"/>
          <w:highlight w:val="none"/>
        </w:rPr>
      </w:r>
    </w:p>
    <w:p>
      <w:pPr>
        <w:pStyle w:val="899"/>
        <w:pBdr/>
        <w:spacing/>
        <w:ind/>
        <w:rPr>
          <w:rStyle w:val="902"/>
          <w:highlight w:val="none"/>
        </w:rPr>
      </w:pPr>
      <w:r>
        <w:rPr>
          <w:rStyle w:val="902"/>
          <w:highlight w:val="none"/>
        </w:rPr>
      </w:r>
      <w:r>
        <w:rPr>
          <w:rStyle w:val="902"/>
          <w:highlight w:val="none"/>
        </w:rPr>
      </w:r>
      <w:r>
        <w:rPr>
          <w:rStyle w:val="902"/>
          <w:highlight w:val="none"/>
        </w:rPr>
      </w:r>
    </w:p>
    <w:p>
      <w:pPr>
        <w:pStyle w:val="899"/>
        <w:pBdr/>
        <w:spacing/>
        <w:ind/>
        <w:rPr>
          <w:rStyle w:val="902"/>
          <w:highlight w:val="none"/>
        </w:rPr>
      </w:pPr>
      <w:r>
        <w:rPr>
          <w:rStyle w:val="902"/>
          <w:highlight w:val="none"/>
        </w:rPr>
      </w:r>
      <w:r>
        <w:rPr>
          <w:rStyle w:val="902"/>
          <w:highlight w:val="none"/>
        </w:rPr>
      </w:r>
      <w:r>
        <w:rPr>
          <w:rStyle w:val="902"/>
          <w:highlight w:val="none"/>
        </w:rPr>
      </w:r>
    </w:p>
    <w:p>
      <w:pPr>
        <w:pStyle w:val="899"/>
        <w:pBdr/>
        <w:spacing/>
        <w:ind/>
        <w:rPr>
          <w:rStyle w:val="902"/>
          <w:highlight w:val="none"/>
        </w:rPr>
      </w:pPr>
      <w:r>
        <w:rPr>
          <w:rStyle w:val="902"/>
        </w:rPr>
        <w:t xml:space="preserve">Historical Context and Development Timeline</w:t>
      </w:r>
      <w:r/>
      <w:r/>
    </w:p>
    <w:p>
      <w:pPr>
        <w:pStyle w:val="911"/>
        <w:pBdr/>
        <w:spacing/>
        <w:ind/>
        <w:rPr/>
      </w:pPr>
      <w:r>
        <w:rPr>
          <w:rStyle w:val="914"/>
        </w:rPr>
        <w:t xml:space="preserve">Background: The Foundation (2011-2013)</w:t>
      </w:r>
      <w:r/>
    </w:p>
    <w:p>
      <w:pPr>
        <w:pStyle w:val="903"/>
        <w:pBdr/>
        <w:spacing/>
        <w:ind/>
        <w:rPr/>
      </w:pPr>
      <w:r>
        <w:rPr>
          <w:rStyle w:val="904"/>
        </w:rPr>
        <w:t xml:space="preserve">Safecast originated immediately following the Fukushima Daiichi nuclear disaster on March 11, 2011, founded by Sean Bonner, Pie</w:t>
      </w:r>
      <w:r>
        <w:rPr>
          <w:rStyle w:val="904"/>
        </w:rPr>
        <w:t xml:space="preserve">ter Franken, and Joi Ito. The organization emerged from a critical need for independent radiation monitoring and transparent data sharing when commercially available Geiger counters became unavailable and official information was perceived as insufficient.</w:t>
      </w:r>
      <w:hyperlink r:id="rId13" w:tooltip="https://en.wikipedia.org/wiki/Safecast" w:history="1">
        <w:r>
          <w:rPr>
            <w:rStyle w:val="907"/>
          </w:rPr>
          <w:t xml:space="preserve">^1</w:t>
        </w:r>
      </w:hyperlink>
      <w:r/>
      <w:r/>
    </w:p>
    <w:p>
      <w:pPr>
        <w:pStyle w:val="903"/>
        <w:pBdr/>
        <w:spacing/>
        <w:ind/>
        <w:rPr/>
      </w:pPr>
      <w:r>
        <w:rPr>
          <w:rStyle w:val="904"/>
        </w:rPr>
        <w:t xml:space="preserve">The bGeigieNano, released in mid-2013, became Safecast's primary workhorse for radiation mapping efforts. As a mobile, GPS-enabled logging radiation sensor designed for mounting on car windows, bicycles, trains, </w:t>
      </w:r>
      <w:r>
        <w:rPr>
          <w:rStyle w:val="904"/>
        </w:rPr>
        <w:t xml:space="preserve">and planes, it enabled widespread citizen-led radiation mapping across the globe. More than 1,500 bGeigie Nano kits were built and deployed worldwide, contributing to what would become over 250 million environmental measurements in Safecast's open dataset.</w:t>
      </w:r>
      <w:hyperlink r:id="rId14" w:tooltip="https://www.saveecobot.com/en/platform/savednipro-and-safecast" w:history="1">
        <w:r>
          <w:rPr>
            <w:rStyle w:val="907"/>
          </w:rPr>
          <w:t xml:space="preserve">^5</w:t>
        </w:r>
      </w:hyperlink>
      <w:r/>
      <w:hyperlink r:id="rId15" w:tooltip="https://safecast.org/history-of-safecast/" w:history="1">
        <w:r>
          <w:rPr>
            <w:rStyle w:val="907"/>
          </w:rPr>
          <w:t xml:space="preserve">^7</w:t>
        </w:r>
      </w:hyperlink>
      <w:r/>
      <w:r/>
    </w:p>
    <w:p>
      <w:pPr>
        <w:pStyle w:val="911"/>
        <w:pBdr/>
        <w:spacing/>
        <w:ind/>
        <w:rPr/>
      </w:pPr>
      <w:r>
        <w:rPr>
          <w:rStyle w:val="914"/>
        </w:rPr>
        <w:t xml:space="preserve">The Nano Era: Success and Limitations (2013-2022)</w:t>
      </w:r>
      <w:r/>
    </w:p>
    <w:p>
      <w:pPr>
        <w:pStyle w:val="903"/>
        <w:pBdr/>
        <w:spacing/>
        <w:ind/>
        <w:rPr/>
      </w:pPr>
      <w:r>
        <w:rPr>
          <w:rStyle w:val="904"/>
        </w:rPr>
        <w:t xml:space="preserve">The bGeigieNano proved highly successful in its mission, with almost all data visible on Safecast's online map collect</w:t>
      </w:r>
      <w:r>
        <w:rPr>
          <w:rStyle w:val="904"/>
        </w:rPr>
        <w:t xml:space="preserve">ed using this device. The kit was professionally tested in laboratories across Japan, Germany, and the US, winning the Good Design award in 2013. In 2015, Safecast extended the Nano with a Bluetooth interface (BLEBee) enabling iOS and Android connectivity.</w:t>
      </w:r>
      <w:hyperlink r:id="rId16" w:tooltip="https://safecast.org/history-of-safecast/" w:history="1">
        <w:r>
          <w:rPr>
            <w:rStyle w:val="907"/>
          </w:rPr>
          <w:t xml:space="preserve">^7</w:t>
        </w:r>
      </w:hyperlink>
      <w:r/>
      <w:r/>
    </w:p>
    <w:p>
      <w:pPr>
        <w:pStyle w:val="903"/>
        <w:pBdr/>
        <w:spacing/>
        <w:ind/>
        <w:rPr/>
      </w:pPr>
      <w:r>
        <w:rPr>
          <w:rStyle w:val="904"/>
        </w:rPr>
        <w:t xml:space="preserve">However, by 2022, critical challenges emerged that would ultimately necessitate the transition to a new device:</w:t>
      </w:r>
      <w:r/>
    </w:p>
    <w:p>
      <w:pPr>
        <w:pStyle w:val="903"/>
        <w:pBdr/>
        <w:spacing/>
        <w:ind/>
        <w:rPr/>
      </w:pPr>
      <w:r>
        <w:rPr>
          <w:rStyle w:val="904"/>
          <w:b/>
          <w:bCs/>
        </w:rPr>
        <w:t xml:space="preserve">Parts Availability Crisis</w:t>
      </w:r>
      <w:r>
        <w:rPr>
          <w:rStyle w:val="904"/>
        </w:rPr>
        <w:t xml:space="preserve">: By July 202</w:t>
      </w:r>
      <w:r>
        <w:rPr>
          <w:rStyle w:val="904"/>
        </w:rPr>
        <w:t xml:space="preserve">2, essential components became increasingly difficult to procure, including the GM pancake tube (LND-7317) and high-voltage power supply (iRover from International Medcom). The distributor Kithub.cc folded, eliminating the primary source for complete kits.</w:t>
      </w:r>
      <w:hyperlink r:id="rId17" w:tooltip="https://www.hackster.io/rob-oudendijk/m5stack-geiger-counter-gps-https-bgeigiezen-safecast-jp-7edd7d" w:history="1">
        <w:r>
          <w:rPr>
            <w:rStyle w:val="907"/>
          </w:rPr>
          <w:t xml:space="preserve">^8</w:t>
        </w:r>
      </w:hyperlink>
      <w:r/>
      <w:r/>
    </w:p>
    <w:p>
      <w:pPr>
        <w:pStyle w:val="903"/>
        <w:pBdr/>
        <w:spacing/>
        <w:ind/>
        <w:rPr/>
      </w:pPr>
      <w:r>
        <w:rPr>
          <w:rStyle w:val="904"/>
          <w:b/>
          <w:bCs/>
        </w:rPr>
        <w:t xml:space="preserve">Assembly Complexity</w:t>
      </w:r>
      <w:r>
        <w:rPr>
          <w:rStyle w:val="904"/>
        </w:rPr>
        <w:t xml:space="preserve">: The Nano required 60 components and 4-5 hours of assembly time, including extensive soldering, which created barriers for many potential users. This complexity particularly deterred individuals without technical electronics experience.</w:t>
      </w:r>
      <w:hyperlink r:id="rId18" w:tooltip="https://safecast.org/history-of-safecast/" w:history="1">
        <w:r>
          <w:rPr>
            <w:rStyle w:val="907"/>
          </w:rPr>
          <w:t xml:space="preserve">^2</w:t>
        </w:r>
      </w:hyperlink>
      <w:r/>
      <w:r/>
    </w:p>
    <w:p>
      <w:pPr>
        <w:pStyle w:val="903"/>
        <w:pBdr/>
        <w:spacing/>
        <w:ind/>
        <w:rPr/>
      </w:pPr>
      <w:r>
        <w:rPr>
          <w:rStyle w:val="904"/>
          <w:b/>
          <w:bCs/>
        </w:rPr>
        <w:t xml:space="preserve">Technological Limitations</w:t>
      </w:r>
      <w:r>
        <w:rPr>
          <w:rStyle w:val="904"/>
        </w:rPr>
        <w:t xml:space="preserve">: The Arduino Fio processor provided only 32KB flash memory and 2KB RAM, limiting potential for advanced features and future enhancements. The monochrome 128×64 OLED display provided limited information display capabilities.</w:t>
      </w:r>
      <w:hyperlink r:id="rId19" w:tooltip="https://bgeigiezen.safecast.jp" w:history="1">
        <w:r>
          <w:rPr>
            <w:rStyle w:val="907"/>
          </w:rPr>
          <w:t xml:space="preserve">^2</w:t>
        </w:r>
      </w:hyperlink>
      <w:r/>
      <w:r/>
    </w:p>
    <w:p>
      <w:pPr>
        <w:pStyle w:val="911"/>
        <w:pBdr/>
        <w:spacing/>
        <w:ind/>
        <w:rPr/>
      </w:pPr>
      <w:r>
        <w:rPr>
          <w:rStyle w:val="914"/>
        </w:rPr>
        <w:t xml:space="preserve">The Zen Development Journey (2021-2025)</w:t>
      </w:r>
      <w:r/>
    </w:p>
    <w:p>
      <w:pPr>
        <w:pStyle w:val="917"/>
        <w:pBdr/>
        <w:spacing/>
        <w:ind/>
        <w:rPr/>
      </w:pPr>
      <w:r>
        <w:rPr>
          <w:rStyle w:val="920"/>
        </w:rPr>
        <w:t xml:space="preserve">Initial Announcement and Prototyping (2021)</w:t>
      </w:r>
      <w:r/>
    </w:p>
    <w:p>
      <w:pPr>
        <w:pStyle w:val="903"/>
        <w:pBdr/>
        <w:spacing/>
        <w:ind/>
        <w:rPr/>
      </w:pPr>
      <w:r>
        <w:rPr>
          <w:rStyle w:val="904"/>
        </w:rPr>
        <w:t xml:space="preserve">In April 2021, Safecast announced the development of bGeigieZen, describing it as "an updated version of the bGeigieNano with a lot of build-i</w:t>
      </w:r>
      <w:r>
        <w:rPr>
          <w:rStyle w:val="904"/>
        </w:rPr>
        <w:t xml:space="preserve">n additional features like wireless uploading of data, wireless charging, replaceable LiPo battery". The device was introduced as being based on the M5Stack modular IoT platform, utilizing the SafePulse sensor board developed specifically for this project.</w:t>
      </w:r>
      <w:hyperlink r:id="rId20" w:tooltip="https://github.com/Safecast/bGeigieNanoKit" w:history="1">
        <w:r>
          <w:rPr>
            <w:rStyle w:val="907"/>
          </w:rPr>
          <w:t xml:space="preserve">^1</w:t>
        </w:r>
      </w:hyperlink>
      <w:r/>
      <w:r/>
    </w:p>
    <w:p>
      <w:pPr>
        <w:pStyle w:val="903"/>
        <w:pBdr/>
        <w:spacing/>
        <w:ind/>
        <w:rPr/>
      </w:pPr>
      <w:r>
        <w:rPr>
          <w:rStyle w:val="904"/>
        </w:rPr>
        <w:t xml:space="preserve">The first public demonstration occurred at FabCafe Tokyo on April 22, 2021, during an Earth Day event where the bGeigieZen prototype was showcased alongside other environmental monitoring devices.</w:t>
      </w:r>
      <w:hyperlink r:id="rId21" w:tooltip="https://safecast.org/devices/bgeigie-nano/" w:history="1">
        <w:r>
          <w:rPr>
            <w:rStyle w:val="907"/>
          </w:rPr>
          <w:t xml:space="preserve">^10</w:t>
        </w:r>
      </w:hyperlink>
      <w:r/>
      <w:r/>
    </w:p>
    <w:p>
      <w:pPr>
        <w:pStyle w:val="917"/>
        <w:pBdr/>
        <w:spacing/>
        <w:ind/>
        <w:rPr/>
      </w:pPr>
      <w:r>
        <w:rPr>
          <w:rStyle w:val="920"/>
        </w:rPr>
        <w:t xml:space="preserve">Extended Development Period (2021-2024)</w:t>
      </w:r>
      <w:r/>
    </w:p>
    <w:p>
      <w:pPr>
        <w:pStyle w:val="903"/>
        <w:pBdr/>
        <w:spacing/>
        <w:ind/>
        <w:rPr/>
      </w:pPr>
      <w:r>
        <w:rPr>
          <w:rStyle w:val="904"/>
        </w:rPr>
        <w:t xml:space="preserve">The development process proved more complex and time-consuming than initially anticipated. Unlike the Nano's relatively straightforward Arduino-based design, the Zen required developing entirely new hardware and software architectures:</w:t>
      </w:r>
      <w:r/>
    </w:p>
    <w:p>
      <w:pPr>
        <w:pStyle w:val="903"/>
        <w:pBdr/>
        <w:spacing/>
        <w:ind/>
        <w:rPr/>
      </w:pPr>
      <w:r>
        <w:rPr>
          <w:rStyle w:val="904"/>
          <w:b/>
          <w:bCs/>
        </w:rPr>
        <w:t xml:space="preserve">Hardware Challenges</w:t>
      </w:r>
      <w:r>
        <w:rPr>
          <w:rStyle w:val="904"/>
        </w:rPr>
        <w:t xml:space="preserve">: The team needed to develo</w:t>
      </w:r>
      <w:r>
        <w:rPr>
          <w:rStyle w:val="904"/>
        </w:rPr>
        <w:t xml:space="preserve">p the SafePulse high-voltage power supply system as an open-source alternative to the proprietary iRover. This involved creating a compact 4-layer PCB design based on HEX CMOS inverter oscillator, MOSFET switch, and Cockroft-Walton multiplier architecture.</w:t>
      </w:r>
      <w:hyperlink r:id="rId22" w:tooltip="https://safecast.org/bgeigiezen-ongoing-improvements/" w:history="1">
        <w:r>
          <w:rPr>
            <w:rStyle w:val="907"/>
          </w:rPr>
          <w:t xml:space="preserve">^11</w:t>
        </w:r>
      </w:hyperlink>
      <w:r/>
      <w:r/>
    </w:p>
    <w:p>
      <w:pPr>
        <w:pStyle w:val="903"/>
        <w:pBdr/>
        <w:spacing/>
        <w:ind/>
        <w:rPr/>
      </w:pPr>
      <w:r>
        <w:rPr>
          <w:rStyle w:val="904"/>
          <w:b/>
          <w:bCs/>
        </w:rPr>
        <w:t xml:space="preserve">Software Framework Development</w:t>
      </w:r>
      <w:r>
        <w:rPr>
          <w:rStyle w:val="904"/>
        </w:rPr>
        <w:t xml:space="preserve">: Building on the M5Stack platform required developing new firmware from scratch, including GPS management, real-time data transmission, touchscreen interface, and power optimization systems.</w:t>
      </w:r>
      <w:hyperlink r:id="rId23" w:tooltip="https://safecast.org" w:history="1">
        <w:r>
          <w:rPr>
            <w:rStyle w:val="907"/>
          </w:rPr>
          <w:t xml:space="preserve">^12</w:t>
        </w:r>
      </w:hyperlink>
      <w:r/>
      <w:r/>
    </w:p>
    <w:p>
      <w:pPr>
        <w:pStyle w:val="903"/>
        <w:pBdr/>
        <w:spacing/>
        <w:ind/>
        <w:rPr/>
      </w:pPr>
      <w:r>
        <w:rPr>
          <w:rStyle w:val="904"/>
          <w:b/>
          <w:bCs/>
        </w:rPr>
        <w:t xml:space="preserve">Integration Challenges</w:t>
      </w:r>
      <w:r>
        <w:rPr>
          <w:rStyle w:val="904"/>
        </w:rPr>
        <w:t xml:space="preserve">: Coordinating multiple modern technologies - M5Stack CoreS3 processor, advanced GPS modules, wireless connectivity, and touchscreen interface - required extensive testing and refinement.</w:t>
      </w:r>
      <w:hyperlink r:id="rId24" w:tooltip="https://safecast.org" w:history="1">
        <w:r>
          <w:rPr>
            <w:rStyle w:val="907"/>
          </w:rPr>
          <w:t xml:space="preserve">^12</w:t>
        </w:r>
      </w:hyperlink>
      <w:r/>
      <w:r/>
    </w:p>
    <w:p>
      <w:pPr>
        <w:pStyle w:val="917"/>
        <w:pBdr/>
        <w:spacing/>
        <w:ind/>
        <w:rPr/>
      </w:pPr>
      <w:r>
        <w:rPr>
          <w:rStyle w:val="920"/>
        </w:rPr>
        <w:t xml:space="preserve">Production and Launch (2024-2025)</w:t>
      </w:r>
      <w:r/>
    </w:p>
    <w:p>
      <w:pPr>
        <w:pStyle w:val="903"/>
        <w:pBdr/>
        <w:spacing/>
        <w:ind/>
        <w:rPr/>
      </w:pPr>
      <w:r>
        <w:rPr>
          <w:rStyle w:val="904"/>
          <w:b/>
          <w:bCs/>
        </w:rPr>
        <w:t xml:space="preserve">Early 2024</w:t>
      </w:r>
      <w:r>
        <w:rPr>
          <w:rStyle w:val="904"/>
        </w:rPr>
        <w:t xml:space="preserve">: Software framework establishment with core functionality including GPS, real-time clock, SD card functionality, and wireless capabilities.</w:t>
      </w:r>
      <w:hyperlink r:id="rId25" w:tooltip="https://safecast.org" w:history="1">
        <w:r>
          <w:rPr>
            <w:rStyle w:val="907"/>
          </w:rPr>
          <w:t xml:space="preserve">^12</w:t>
        </w:r>
      </w:hyperlink>
      <w:r/>
      <w:r/>
    </w:p>
    <w:p>
      <w:pPr>
        <w:pStyle w:val="903"/>
        <w:pBdr/>
        <w:spacing/>
        <w:ind/>
        <w:rPr/>
      </w:pPr>
      <w:r>
        <w:rPr>
          <w:rStyle w:val="904"/>
          <w:b/>
          <w:bCs/>
        </w:rPr>
        <w:t xml:space="preserve">February 2024</w:t>
      </w:r>
      <w:r>
        <w:rPr>
          <w:rStyle w:val="904"/>
        </w:rPr>
        <w:t xml:space="preserve">: First production PCB boards (V3.0.3) manufactured and initial units assembled.</w:t>
      </w:r>
      <w:hyperlink r:id="rId26" w:tooltip="https://safecast.org" w:history="1">
        <w:r>
          <w:rPr>
            <w:rStyle w:val="907"/>
          </w:rPr>
          <w:t xml:space="preserve">^12</w:t>
        </w:r>
      </w:hyperlink>
      <w:r/>
      <w:r/>
    </w:p>
    <w:p>
      <w:pPr>
        <w:pStyle w:val="903"/>
        <w:pBdr/>
        <w:spacing/>
        <w:ind/>
        <w:rPr/>
      </w:pPr>
      <w:r>
        <w:rPr>
          <w:rStyle w:val="904"/>
          <w:b/>
          <w:bCs/>
        </w:rPr>
        <w:t xml:space="preserve">April 2024</w:t>
      </w:r>
      <w:r>
        <w:rPr>
          <w:rStyle w:val="904"/>
        </w:rPr>
        <w:t xml:space="preserve">: First customer shipments began with initial batch of 20 units.</w:t>
      </w:r>
      <w:hyperlink r:id="rId27" w:tooltip="https://safecast.org" w:history="1">
        <w:r>
          <w:rPr>
            <w:rStyle w:val="907"/>
          </w:rPr>
          <w:t xml:space="preserve">^12</w:t>
        </w:r>
      </w:hyperlink>
      <w:r/>
      <w:r/>
    </w:p>
    <w:p>
      <w:pPr>
        <w:pStyle w:val="903"/>
        <w:pBdr/>
        <w:spacing/>
        <w:ind/>
        <w:rPr/>
      </w:pPr>
      <w:r>
        <w:rPr>
          <w:rStyle w:val="904"/>
          <w:b/>
          <w:bCs/>
        </w:rPr>
        <w:t xml:space="preserve">August 2024</w:t>
      </w:r>
      <w:r>
        <w:rPr>
          <w:rStyle w:val="904"/>
        </w:rPr>
        <w:t xml:space="preserve">: First production run sold out, with transition beginning to V4.x.x generation featuring improved design and 3D-printed tube covers.</w:t>
      </w:r>
      <w:hyperlink r:id="rId28" w:tooltip="https://safecast.org" w:history="1">
        <w:r>
          <w:rPr>
            <w:rStyle w:val="907"/>
          </w:rPr>
          <w:t xml:space="preserve">^13</w:t>
        </w:r>
      </w:hyperlink>
      <w:r/>
      <w:r/>
    </w:p>
    <w:p>
      <w:pPr>
        <w:pStyle w:val="903"/>
        <w:pBdr/>
        <w:spacing/>
        <w:ind/>
        <w:rPr/>
      </w:pPr>
      <w:r>
        <w:rPr>
          <w:rStyle w:val="904"/>
          <w:b/>
          <w:bCs/>
        </w:rPr>
        <w:t xml:space="preserve">October 2024</w:t>
      </w:r>
      <w:r>
        <w:rPr>
          <w:rStyle w:val="904"/>
        </w:rPr>
        <w:t xml:space="preserve">: Official public announcement of the bGeigieZen as the successor to the bGeigieNano.</w:t>
      </w:r>
      <w:hyperlink r:id="rId29" w:tooltip="https://safecast.org/devices/" w:history="1">
        <w:r>
          <w:rPr>
            <w:rStyle w:val="907"/>
          </w:rPr>
          <w:t xml:space="preserve">^3</w:t>
        </w:r>
      </w:hyperlink>
      <w:r/>
      <w:r/>
    </w:p>
    <w:p>
      <w:pPr>
        <w:pStyle w:val="903"/>
        <w:pBdr/>
        <w:spacing/>
        <w:ind/>
        <w:rPr/>
      </w:pPr>
      <w:r>
        <w:rPr>
          <w:rStyle w:val="904"/>
          <w:b/>
          <w:bCs/>
        </w:rPr>
        <w:t xml:space="preserve">January 2025</w:t>
      </w:r>
      <w:r>
        <w:rPr>
          <w:rStyle w:val="904"/>
        </w:rPr>
        <w:t xml:space="preserve">: 100th bGeigieZen delivered with 100% manufacturing success rate.</w:t>
      </w:r>
      <w:hyperlink r:id="rId30" w:tooltip="https://safecast.org" w:history="1">
        <w:r>
          <w:rPr>
            <w:rStyle w:val="907"/>
          </w:rPr>
          <w:t xml:space="preserve">^12</w:t>
        </w:r>
      </w:hyperlink>
      <w:r/>
      <w:r/>
    </w:p>
    <w:p>
      <w:pPr>
        <w:pStyle w:val="899"/>
        <w:pBdr/>
        <w:spacing/>
        <w:ind/>
        <w:rPr/>
      </w:pPr>
      <w:r>
        <w:rPr>
          <w:rStyle w:val="902"/>
        </w:rPr>
        <w:t xml:space="preserve">Technical Evolution and Improvements</w:t>
      </w:r>
      <w:r/>
    </w:p>
    <w:p>
      <w:pPr>
        <w:pStyle w:val="911"/>
        <w:pBdr/>
        <w:spacing/>
        <w:ind/>
        <w:rPr/>
      </w:pPr>
      <w:r>
        <w:rPr>
          <w:rStyle w:val="914"/>
        </w:rPr>
        <w:t xml:space="preserve">Fundamental Design Philosophy</w:t>
      </w:r>
      <w:r/>
    </w:p>
    <w:p>
      <w:pPr>
        <w:pStyle w:val="903"/>
        <w:pBdr/>
        <w:spacing/>
        <w:ind/>
        <w:rPr/>
      </w:pPr>
      <w:r>
        <w:rPr>
          <w:rStyle w:val="904"/>
        </w:rPr>
        <w:t xml:space="preserve">The bGeigieZen embodies</w:t>
      </w:r>
      <w:r>
        <w:rPr>
          <w:rStyle w:val="904"/>
        </w:rPr>
        <w:t xml:space="preserve"> a "Zen" philosophy of simplified design and enhanced user experience. This is immediately evident in the dramatic reduction from 60 components in the Nano to just 18 components in the Zen, reducing assembly time from 4-5 hours to approximately 30 minutes.</w:t>
      </w:r>
      <w:hyperlink r:id="rId31" w:tooltip="https://safecast.org/devices/" w:history="1">
        <w:r>
          <w:rPr>
            <w:rStyle w:val="907"/>
          </w:rPr>
          <w:t xml:space="preserve">^2</w:t>
        </w:r>
      </w:hyperlink>
      <w:r/>
      <w:r/>
    </w:p>
    <w:p>
      <w:pPr>
        <w:pStyle w:val="911"/>
        <w:pBdr/>
        <w:spacing/>
        <w:ind/>
        <w:rPr/>
      </w:pPr>
      <w:r>
        <w:rPr>
          <w:rStyle w:val="914"/>
        </w:rPr>
        <w:t xml:space="preserve">Hardware Specifications Comparison</w:t>
      </w:r>
      <w:r/>
    </w:p>
    <w:tbl>
      <w:tblPr>
        <w:tblW w:w="5000" w:type="pct"/>
        <w:tblCellMar>
          <w:left w:w="15" w:type="dxa"/>
          <w:top w:w="15" w:type="dxa"/>
          <w:right w:w="15" w:type="dxa"/>
          <w:bottom w:w="15" w:type="dxa"/>
        </w:tblCellMar>
        <w:tblBorders/>
        <w:tblLook w:val="04A0" w:firstRow="1" w:lastRow="0" w:firstColumn="1" w:lastColumn="0" w:noHBand="0" w:noVBand="1"/>
      </w:tblPr>
      <w:tblGrid>
        <w:gridCol w:w="1134"/>
        <w:gridCol w:w="1134"/>
        <w:gridCol w:w="1134"/>
        <w:gridCol w:w="1134"/>
      </w:tblGrid>
      <w:tr>
        <w:trPr/>
        <w:tc>
          <w:tcPr>
            <w:tcBorders/>
            <w:tcW w:w="5000" w:type="pct"/>
            <w:vAlign w:val="center"/>
            <w:textDirection w:val="lrTb"/>
            <w:noWrap w:val="false"/>
          </w:tcPr>
          <w:p>
            <w:pPr>
              <w:pStyle w:val="921"/>
              <w:pBdr/>
              <w:spacing/>
              <w:ind/>
              <w:rPr/>
            </w:pPr>
            <w:r>
              <w:rPr>
                <w:rStyle w:val="922"/>
                <w:b/>
                <w:bCs/>
              </w:rPr>
              <w:t xml:space="preserve">Specification</w:t>
            </w:r>
            <w:r/>
          </w:p>
        </w:tc>
        <w:tc>
          <w:tcPr>
            <w:tcBorders/>
            <w:tcW w:w="5000" w:type="pct"/>
            <w:vAlign w:val="center"/>
            <w:textDirection w:val="lrTb"/>
            <w:noWrap w:val="false"/>
          </w:tcPr>
          <w:p>
            <w:pPr>
              <w:pStyle w:val="921"/>
              <w:pBdr/>
              <w:spacing/>
              <w:ind/>
              <w:rPr/>
            </w:pPr>
            <w:r>
              <w:rPr>
                <w:rStyle w:val="922"/>
                <w:b/>
                <w:bCs/>
              </w:rPr>
              <w:t xml:space="preserve">bGeigie Nano</w:t>
            </w:r>
            <w:r/>
          </w:p>
        </w:tc>
        <w:tc>
          <w:tcPr>
            <w:tcBorders/>
            <w:tcW w:w="5000" w:type="pct"/>
            <w:vAlign w:val="center"/>
            <w:textDirection w:val="lrTb"/>
            <w:noWrap w:val="false"/>
          </w:tcPr>
          <w:p>
            <w:pPr>
              <w:pStyle w:val="921"/>
              <w:pBdr/>
              <w:spacing/>
              <w:ind/>
              <w:rPr/>
            </w:pPr>
            <w:r>
              <w:rPr>
                <w:rStyle w:val="922"/>
                <w:b/>
                <w:bCs/>
              </w:rPr>
              <w:t xml:space="preserve">bGeigie Zen</w:t>
            </w:r>
            <w:r/>
          </w:p>
        </w:tc>
        <w:tc>
          <w:tcPr>
            <w:tcBorders/>
            <w:tcW w:w="5000" w:type="pct"/>
            <w:vAlign w:val="center"/>
            <w:textDirection w:val="lrTb"/>
            <w:noWrap w:val="false"/>
          </w:tcPr>
          <w:p>
            <w:pPr>
              <w:pStyle w:val="921"/>
              <w:pBdr/>
              <w:spacing/>
              <w:ind/>
              <w:rPr/>
            </w:pPr>
            <w:r>
              <w:rPr>
                <w:rStyle w:val="922"/>
                <w:b/>
                <w:bCs/>
              </w:rPr>
              <w:t xml:space="preserve">Improvement Factor</w:t>
            </w:r>
            <w:r/>
          </w:p>
        </w:tc>
      </w:tr>
      <w:tr>
        <w:trPr/>
        <w:tc>
          <w:tcPr>
            <w:tcBorders/>
            <w:tcW w:w="5000" w:type="pct"/>
            <w:vAlign w:val="center"/>
            <w:textDirection w:val="lrTb"/>
            <w:noWrap w:val="false"/>
          </w:tcPr>
          <w:p>
            <w:pPr>
              <w:pStyle w:val="923"/>
              <w:pBdr/>
              <w:spacing/>
              <w:ind/>
              <w:rPr/>
            </w:pPr>
            <w:r>
              <w:rPr>
                <w:rStyle w:val="924"/>
              </w:rPr>
              <w:t xml:space="preserve">Components</w:t>
            </w:r>
            <w:r/>
          </w:p>
        </w:tc>
        <w:tc>
          <w:tcPr>
            <w:tcBorders/>
            <w:tcW w:w="5000" w:type="pct"/>
            <w:vAlign w:val="center"/>
            <w:textDirection w:val="lrTb"/>
            <w:noWrap w:val="false"/>
          </w:tcPr>
          <w:p>
            <w:pPr>
              <w:pStyle w:val="923"/>
              <w:pBdr/>
              <w:spacing/>
              <w:ind/>
              <w:rPr/>
            </w:pPr>
            <w:r>
              <w:rPr>
                <w:rStyle w:val="924"/>
              </w:rPr>
              <w:t xml:space="preserve">60</w:t>
            </w:r>
            <w:r/>
          </w:p>
        </w:tc>
        <w:tc>
          <w:tcPr>
            <w:tcBorders/>
            <w:tcW w:w="5000" w:type="pct"/>
            <w:vAlign w:val="center"/>
            <w:textDirection w:val="lrTb"/>
            <w:noWrap w:val="false"/>
          </w:tcPr>
          <w:p>
            <w:pPr>
              <w:pStyle w:val="923"/>
              <w:pBdr/>
              <w:spacing/>
              <w:ind/>
              <w:rPr/>
            </w:pPr>
            <w:r>
              <w:rPr>
                <w:rStyle w:val="924"/>
              </w:rPr>
              <w:t xml:space="preserve">18</w:t>
            </w:r>
            <w:r/>
          </w:p>
        </w:tc>
        <w:tc>
          <w:tcPr>
            <w:tcBorders/>
            <w:tcW w:w="5000" w:type="pct"/>
            <w:vAlign w:val="center"/>
            <w:textDirection w:val="lrTb"/>
            <w:noWrap w:val="false"/>
          </w:tcPr>
          <w:p>
            <w:pPr>
              <w:pStyle w:val="923"/>
              <w:pBdr/>
              <w:spacing/>
              <w:ind/>
              <w:rPr/>
            </w:pPr>
            <w:r>
              <w:rPr>
                <w:rStyle w:val="924"/>
              </w:rPr>
              <w:t xml:space="preserve">70% reduction</w:t>
            </w:r>
            <w:r/>
          </w:p>
        </w:tc>
      </w:tr>
      <w:tr>
        <w:trPr/>
        <w:tc>
          <w:tcPr>
            <w:tcBorders/>
            <w:tcW w:w="5000" w:type="pct"/>
            <w:vAlign w:val="center"/>
            <w:textDirection w:val="lrTb"/>
            <w:noWrap w:val="false"/>
          </w:tcPr>
          <w:p>
            <w:pPr>
              <w:pStyle w:val="923"/>
              <w:pBdr/>
              <w:spacing/>
              <w:ind/>
              <w:rPr/>
            </w:pPr>
            <w:r>
              <w:rPr>
                <w:rStyle w:val="924"/>
              </w:rPr>
              <w:t xml:space="preserve">Assembly Time</w:t>
            </w:r>
            <w:r/>
          </w:p>
        </w:tc>
        <w:tc>
          <w:tcPr>
            <w:tcBorders/>
            <w:tcW w:w="5000" w:type="pct"/>
            <w:vAlign w:val="center"/>
            <w:textDirection w:val="lrTb"/>
            <w:noWrap w:val="false"/>
          </w:tcPr>
          <w:p>
            <w:pPr>
              <w:pStyle w:val="923"/>
              <w:pBdr/>
              <w:spacing/>
              <w:ind/>
              <w:rPr/>
            </w:pPr>
            <w:r>
              <w:rPr>
                <w:rStyle w:val="924"/>
              </w:rPr>
              <w:t xml:space="preserve">4-5 hours</w:t>
            </w:r>
            <w:r/>
          </w:p>
        </w:tc>
        <w:tc>
          <w:tcPr>
            <w:tcBorders/>
            <w:tcW w:w="5000" w:type="pct"/>
            <w:vAlign w:val="center"/>
            <w:textDirection w:val="lrTb"/>
            <w:noWrap w:val="false"/>
          </w:tcPr>
          <w:p>
            <w:pPr>
              <w:pStyle w:val="923"/>
              <w:pBdr/>
              <w:spacing/>
              <w:ind/>
              <w:rPr/>
            </w:pPr>
            <w:r>
              <w:rPr>
                <w:rStyle w:val="924"/>
              </w:rPr>
              <w:t xml:space="preserve">30 minutes</w:t>
            </w:r>
            <w:r/>
          </w:p>
        </w:tc>
        <w:tc>
          <w:tcPr>
            <w:tcBorders/>
            <w:tcW w:w="5000" w:type="pct"/>
            <w:vAlign w:val="center"/>
            <w:textDirection w:val="lrTb"/>
            <w:noWrap w:val="false"/>
          </w:tcPr>
          <w:p>
            <w:pPr>
              <w:pStyle w:val="923"/>
              <w:pBdr/>
              <w:spacing/>
              <w:ind/>
              <w:rPr/>
            </w:pPr>
            <w:r>
              <w:rPr>
                <w:rStyle w:val="924"/>
              </w:rPr>
              <w:t xml:space="preserve">87% reduction</w:t>
            </w:r>
            <w:r/>
          </w:p>
        </w:tc>
      </w:tr>
      <w:tr>
        <w:trPr/>
        <w:tc>
          <w:tcPr>
            <w:tcBorders/>
            <w:tcW w:w="5000" w:type="pct"/>
            <w:vAlign w:val="center"/>
            <w:textDirection w:val="lrTb"/>
            <w:noWrap w:val="false"/>
          </w:tcPr>
          <w:p>
            <w:pPr>
              <w:pStyle w:val="923"/>
              <w:pBdr/>
              <w:spacing/>
              <w:ind/>
              <w:rPr/>
            </w:pPr>
            <w:r>
              <w:rPr>
                <w:rStyle w:val="924"/>
              </w:rPr>
              <w:t xml:space="preserve">Flash Memory</w:t>
            </w:r>
            <w:r/>
          </w:p>
        </w:tc>
        <w:tc>
          <w:tcPr>
            <w:tcBorders/>
            <w:tcW w:w="5000" w:type="pct"/>
            <w:vAlign w:val="center"/>
            <w:textDirection w:val="lrTb"/>
            <w:noWrap w:val="false"/>
          </w:tcPr>
          <w:p>
            <w:pPr>
              <w:pStyle w:val="923"/>
              <w:pBdr/>
              <w:spacing/>
              <w:ind/>
              <w:rPr/>
            </w:pPr>
            <w:r>
              <w:rPr>
                <w:rStyle w:val="924"/>
              </w:rPr>
              <w:t xml:space="preserve">32KB</w:t>
            </w:r>
            <w:r/>
          </w:p>
        </w:tc>
        <w:tc>
          <w:tcPr>
            <w:tcBorders/>
            <w:tcW w:w="5000" w:type="pct"/>
            <w:vAlign w:val="center"/>
            <w:textDirection w:val="lrTb"/>
            <w:noWrap w:val="false"/>
          </w:tcPr>
          <w:p>
            <w:pPr>
              <w:pStyle w:val="923"/>
              <w:pBdr/>
              <w:spacing/>
              <w:ind/>
              <w:rPr/>
            </w:pPr>
            <w:r>
              <w:rPr>
                <w:rStyle w:val="924"/>
              </w:rPr>
              <w:t xml:space="preserve">16MB</w:t>
            </w:r>
            <w:r/>
          </w:p>
        </w:tc>
        <w:tc>
          <w:tcPr>
            <w:tcBorders/>
            <w:tcW w:w="5000" w:type="pct"/>
            <w:vAlign w:val="center"/>
            <w:textDirection w:val="lrTb"/>
            <w:noWrap w:val="false"/>
          </w:tcPr>
          <w:p>
            <w:pPr>
              <w:pStyle w:val="923"/>
              <w:pBdr/>
              <w:spacing/>
              <w:ind/>
              <w:rPr/>
            </w:pPr>
            <w:r>
              <w:rPr>
                <w:rStyle w:val="924"/>
              </w:rPr>
              <w:t xml:space="preserve">500x increase</w:t>
            </w:r>
            <w:r/>
          </w:p>
        </w:tc>
      </w:tr>
      <w:tr>
        <w:trPr/>
        <w:tc>
          <w:tcPr>
            <w:tcBorders/>
            <w:tcW w:w="5000" w:type="pct"/>
            <w:vAlign w:val="center"/>
            <w:textDirection w:val="lrTb"/>
            <w:noWrap w:val="false"/>
          </w:tcPr>
          <w:p>
            <w:pPr>
              <w:pStyle w:val="923"/>
              <w:pBdr/>
              <w:spacing/>
              <w:ind/>
              <w:rPr/>
            </w:pPr>
            <w:r>
              <w:rPr>
                <w:rStyle w:val="924"/>
              </w:rPr>
              <w:t xml:space="preserve">RAM Memory</w:t>
            </w:r>
            <w:r/>
          </w:p>
        </w:tc>
        <w:tc>
          <w:tcPr>
            <w:tcBorders/>
            <w:tcW w:w="5000" w:type="pct"/>
            <w:vAlign w:val="center"/>
            <w:textDirection w:val="lrTb"/>
            <w:noWrap w:val="false"/>
          </w:tcPr>
          <w:p>
            <w:pPr>
              <w:pStyle w:val="923"/>
              <w:pBdr/>
              <w:spacing/>
              <w:ind/>
              <w:rPr/>
            </w:pPr>
            <w:r>
              <w:rPr>
                <w:rStyle w:val="924"/>
              </w:rPr>
              <w:t xml:space="preserve">2KB</w:t>
            </w:r>
            <w:r/>
          </w:p>
        </w:tc>
        <w:tc>
          <w:tcPr>
            <w:tcBorders/>
            <w:tcW w:w="5000" w:type="pct"/>
            <w:vAlign w:val="center"/>
            <w:textDirection w:val="lrTb"/>
            <w:noWrap w:val="false"/>
          </w:tcPr>
          <w:p>
            <w:pPr>
              <w:pStyle w:val="923"/>
              <w:pBdr/>
              <w:spacing/>
              <w:ind/>
              <w:rPr/>
            </w:pPr>
            <w:r>
              <w:rPr>
                <w:rStyle w:val="924"/>
              </w:rPr>
              <w:t xml:space="preserve">8MB</w:t>
            </w:r>
            <w:r/>
          </w:p>
        </w:tc>
        <w:tc>
          <w:tcPr>
            <w:tcBorders/>
            <w:tcW w:w="5000" w:type="pct"/>
            <w:vAlign w:val="center"/>
            <w:textDirection w:val="lrTb"/>
            <w:noWrap w:val="false"/>
          </w:tcPr>
          <w:p>
            <w:pPr>
              <w:pStyle w:val="923"/>
              <w:pBdr/>
              <w:spacing/>
              <w:ind/>
              <w:rPr/>
            </w:pPr>
            <w:r>
              <w:rPr>
                <w:rStyle w:val="924"/>
              </w:rPr>
              <w:t xml:space="preserve">4,000x increase</w:t>
            </w:r>
            <w:r/>
          </w:p>
        </w:tc>
      </w:tr>
      <w:tr>
        <w:trPr/>
        <w:tc>
          <w:tcPr>
            <w:tcBorders/>
            <w:tcW w:w="5000" w:type="pct"/>
            <w:vAlign w:val="center"/>
            <w:textDirection w:val="lrTb"/>
            <w:noWrap w:val="false"/>
          </w:tcPr>
          <w:p>
            <w:pPr>
              <w:pStyle w:val="923"/>
              <w:pBdr/>
              <w:spacing/>
              <w:ind/>
              <w:rPr/>
            </w:pPr>
            <w:r>
              <w:rPr>
                <w:rStyle w:val="924"/>
              </w:rPr>
              <w:t xml:space="preserve">Display</w:t>
            </w:r>
            <w:r/>
          </w:p>
        </w:tc>
        <w:tc>
          <w:tcPr>
            <w:tcBorders/>
            <w:tcW w:w="5000" w:type="pct"/>
            <w:vAlign w:val="center"/>
            <w:textDirection w:val="lrTb"/>
            <w:noWrap w:val="false"/>
          </w:tcPr>
          <w:p>
            <w:pPr>
              <w:pStyle w:val="923"/>
              <w:pBdr/>
              <w:spacing/>
              <w:ind/>
              <w:rPr/>
            </w:pPr>
            <w:r>
              <w:rPr>
                <w:rStyle w:val="924"/>
              </w:rPr>
              <w:t xml:space="preserve">128×64 Monochrome</w:t>
            </w:r>
            <w:r/>
          </w:p>
        </w:tc>
        <w:tc>
          <w:tcPr>
            <w:tcBorders/>
            <w:tcW w:w="5000" w:type="pct"/>
            <w:vAlign w:val="center"/>
            <w:textDirection w:val="lrTb"/>
            <w:noWrap w:val="false"/>
          </w:tcPr>
          <w:p>
            <w:pPr>
              <w:pStyle w:val="923"/>
              <w:pBdr/>
              <w:spacing/>
              <w:ind/>
              <w:rPr/>
            </w:pPr>
            <w:r>
              <w:rPr>
                <w:rStyle w:val="924"/>
              </w:rPr>
              <w:t xml:space="preserve">320×240 Color Touchscreen</w:t>
            </w:r>
            <w:r/>
          </w:p>
        </w:tc>
        <w:tc>
          <w:tcPr>
            <w:tcBorders/>
            <w:tcW w:w="5000" w:type="pct"/>
            <w:vAlign w:val="center"/>
            <w:textDirection w:val="lrTb"/>
            <w:noWrap w:val="false"/>
          </w:tcPr>
          <w:p>
            <w:pPr>
              <w:pStyle w:val="923"/>
              <w:pBdr/>
              <w:spacing/>
              <w:ind/>
              <w:rPr/>
            </w:pPr>
            <w:r>
              <w:rPr>
                <w:rStyle w:val="924"/>
              </w:rPr>
              <w:t xml:space="preserve">6x resolution, color, touch</w:t>
            </w:r>
            <w:r/>
          </w:p>
        </w:tc>
      </w:tr>
      <w:tr>
        <w:trPr/>
        <w:tc>
          <w:tcPr>
            <w:tcBorders/>
            <w:tcW w:w="5000" w:type="pct"/>
            <w:vAlign w:val="center"/>
            <w:textDirection w:val="lrTb"/>
            <w:noWrap w:val="false"/>
          </w:tcPr>
          <w:p>
            <w:pPr>
              <w:pStyle w:val="923"/>
              <w:pBdr/>
              <w:spacing/>
              <w:ind/>
              <w:rPr/>
            </w:pPr>
            <w:r>
              <w:rPr>
                <w:rStyle w:val="924"/>
              </w:rPr>
              <w:t xml:space="preserve">Battery</w:t>
            </w:r>
            <w:r/>
          </w:p>
        </w:tc>
        <w:tc>
          <w:tcPr>
            <w:tcBorders/>
            <w:tcW w:w="5000" w:type="pct"/>
            <w:vAlign w:val="center"/>
            <w:textDirection w:val="lrTb"/>
            <w:noWrap w:val="false"/>
          </w:tcPr>
          <w:p>
            <w:pPr>
              <w:pStyle w:val="923"/>
              <w:pBdr/>
              <w:spacing/>
              <w:ind/>
              <w:rPr/>
            </w:pPr>
            <w:r>
              <w:rPr>
                <w:rStyle w:val="924"/>
              </w:rPr>
              <w:t xml:space="preserve">2000mAh fixed</w:t>
            </w:r>
            <w:r/>
          </w:p>
        </w:tc>
        <w:tc>
          <w:tcPr>
            <w:tcBorders/>
            <w:tcW w:w="5000" w:type="pct"/>
            <w:vAlign w:val="center"/>
            <w:textDirection w:val="lrTb"/>
            <w:noWrap w:val="false"/>
          </w:tcPr>
          <w:p>
            <w:pPr>
              <w:pStyle w:val="923"/>
              <w:pBdr/>
              <w:spacing/>
              <w:ind/>
              <w:rPr/>
            </w:pPr>
            <w:r>
              <w:rPr>
                <w:rStyle w:val="924"/>
              </w:rPr>
              <w:t xml:space="preserve">4000mAh removable</w:t>
            </w:r>
            <w:r/>
          </w:p>
        </w:tc>
        <w:tc>
          <w:tcPr>
            <w:tcBorders/>
            <w:tcW w:w="5000" w:type="pct"/>
            <w:vAlign w:val="center"/>
            <w:textDirection w:val="lrTb"/>
            <w:noWrap w:val="false"/>
          </w:tcPr>
          <w:p>
            <w:pPr>
              <w:pStyle w:val="923"/>
              <w:pBdr/>
              <w:spacing/>
              <w:ind/>
              <w:rPr/>
            </w:pPr>
            <w:r>
              <w:rPr>
                <w:rStyle w:val="924"/>
              </w:rPr>
              <w:t xml:space="preserve">2x capacity, user-serviceable</w:t>
            </w:r>
            <w:r/>
          </w:p>
        </w:tc>
      </w:tr>
      <w:tr>
        <w:trPr/>
        <w:tc>
          <w:tcPr>
            <w:tcBorders/>
            <w:tcW w:w="5000" w:type="pct"/>
            <w:vAlign w:val="center"/>
            <w:textDirection w:val="lrTb"/>
            <w:noWrap w:val="false"/>
          </w:tcPr>
          <w:p>
            <w:pPr>
              <w:pStyle w:val="923"/>
              <w:pBdr/>
              <w:spacing/>
              <w:ind/>
              <w:rPr/>
            </w:pPr>
            <w:r>
              <w:rPr>
                <w:rStyle w:val="924"/>
              </w:rPr>
              <w:t xml:space="preserve">Connectivity</w:t>
            </w:r>
            <w:r/>
          </w:p>
        </w:tc>
        <w:tc>
          <w:tcPr>
            <w:tcBorders/>
            <w:tcW w:w="5000" w:type="pct"/>
            <w:vAlign w:val="center"/>
            <w:textDirection w:val="lrTb"/>
            <w:noWrap w:val="false"/>
          </w:tcPr>
          <w:p>
            <w:pPr>
              <w:pStyle w:val="923"/>
              <w:pBdr/>
              <w:spacing/>
              <w:ind/>
              <w:rPr/>
            </w:pPr>
            <w:r>
              <w:rPr>
                <w:rStyle w:val="924"/>
              </w:rPr>
              <w:t xml:space="preserve">Optional BLE</w:t>
            </w:r>
            <w:r/>
          </w:p>
        </w:tc>
        <w:tc>
          <w:tcPr>
            <w:tcBorders/>
            <w:tcW w:w="5000" w:type="pct"/>
            <w:vAlign w:val="center"/>
            <w:textDirection w:val="lrTb"/>
            <w:noWrap w:val="false"/>
          </w:tcPr>
          <w:p>
            <w:pPr>
              <w:pStyle w:val="923"/>
              <w:pBdr/>
              <w:spacing/>
              <w:ind/>
              <w:rPr/>
            </w:pPr>
            <w:r>
              <w:rPr>
                <w:rStyle w:val="924"/>
              </w:rPr>
              <w:t xml:space="preserve">Integrated Wi-Fi, BLE, USB-C</w:t>
            </w:r>
            <w:r/>
          </w:p>
        </w:tc>
        <w:tc>
          <w:tcPr>
            <w:tcBorders/>
            <w:tcW w:w="5000" w:type="pct"/>
            <w:vAlign w:val="center"/>
            <w:textDirection w:val="lrTb"/>
            <w:noWrap w:val="false"/>
          </w:tcPr>
          <w:p>
            <w:pPr>
              <w:pStyle w:val="923"/>
              <w:pBdr/>
              <w:spacing/>
              <w:ind/>
              <w:rPr/>
            </w:pPr>
            <w:r>
              <w:rPr>
                <w:rStyle w:val="924"/>
              </w:rPr>
              <w:t xml:space="preserve">Native wireless capabilities</w:t>
            </w:r>
            <w:r/>
          </w:p>
        </w:tc>
      </w:tr>
    </w:tbl>
    <w:p>
      <w:pPr>
        <w:pBdr/>
        <w:spacing/>
        <w:ind/>
        <w:rPr/>
      </w:pPr>
      <w:r/>
      <w:r/>
    </w:p>
    <w:p>
      <w:pPr>
        <w:pStyle w:val="911"/>
        <w:pBdr/>
        <w:spacing/>
        <w:ind/>
        <w:rPr/>
      </w:pPr>
      <w:r>
        <w:rPr>
          <w:rStyle w:val="914"/>
        </w:rPr>
        <w:t xml:space="preserve">Advanced Features and Capabilities</w:t>
      </w:r>
      <w:r/>
    </w:p>
    <w:p>
      <w:pPr>
        <w:pStyle w:val="903"/>
        <w:pBdr/>
        <w:spacing/>
        <w:ind/>
        <w:rPr/>
      </w:pPr>
      <w:r>
        <w:rPr>
          <w:rStyle w:val="904"/>
          <w:b/>
          <w:bCs/>
        </w:rPr>
        <w:t xml:space="preserve">Enhanced GPS Performance</w:t>
      </w:r>
      <w:r>
        <w:rPr>
          <w:rStyle w:val="904"/>
        </w:rPr>
        <w:t xml:space="preserve">: The Zen utilizes the Bzgnss BZ-251GPS module with M10 series chipset, providing access to approximately 10 additional satellites compared to the Nano's Adafruit Ultimate GPS, significantly improving location accuracy.</w:t>
      </w:r>
      <w:hyperlink r:id="rId32" w:tooltip="https://safecast.org" w:history="1">
        <w:r>
          <w:rPr>
            <w:rStyle w:val="907"/>
          </w:rPr>
          <w:t xml:space="preserve">^2</w:t>
        </w:r>
      </w:hyperlink>
      <w:r/>
      <w:r/>
    </w:p>
    <w:p>
      <w:pPr>
        <w:pStyle w:val="903"/>
        <w:pBdr/>
        <w:spacing/>
        <w:ind/>
        <w:rPr/>
      </w:pPr>
      <w:r>
        <w:rPr>
          <w:rStyle w:val="904"/>
          <w:b/>
          <w:bCs/>
        </w:rPr>
        <w:t xml:space="preserve">Real-time Monitoring</w:t>
      </w:r>
      <w:r>
        <w:rPr>
          <w:rStyle w:val="904"/>
        </w:rPr>
        <w:t xml:space="preserve">: Unlike the Nano, which required additional modules for wireless data transmission, the Zen includes integrated real-time monitoring capabilities, automatically uploading data every 5 minutes in fixed mode or every 5 seconds in mobile mode.</w:t>
      </w:r>
      <w:hyperlink r:id="rId33" w:tooltip="https://safecast.org/devices/" w:history="1">
        <w:r>
          <w:rPr>
            <w:rStyle w:val="907"/>
          </w:rPr>
          <w:t xml:space="preserve">^3</w:t>
        </w:r>
      </w:hyperlink>
      <w:r/>
      <w:r/>
    </w:p>
    <w:p>
      <w:pPr>
        <w:pStyle w:val="903"/>
        <w:pBdr/>
        <w:spacing/>
        <w:ind/>
        <w:rPr/>
      </w:pPr>
      <w:r>
        <w:rPr>
          <w:rStyle w:val="904"/>
          <w:b/>
          <w:bCs/>
        </w:rPr>
        <w:t xml:space="preserve">Modern User Interface</w:t>
      </w:r>
      <w:r>
        <w:rPr>
          <w:rStyle w:val="904"/>
        </w:rPr>
        <w:t xml:space="preserve">: The 2-inch IPS LCD color touchscreen with 320×240 resolution provides intuitive interaction, displaying QR codes for easy smartphone access to online data, satellite tracking information, and comprehensive device status.</w:t>
      </w:r>
      <w:hyperlink r:id="rId34" w:tooltip="https://bgeigiezen.safecast.jp" w:history="1">
        <w:r>
          <w:rPr>
            <w:rStyle w:val="907"/>
          </w:rPr>
          <w:t xml:space="preserve">^2</w:t>
        </w:r>
      </w:hyperlink>
      <w:r/>
      <w:r/>
    </w:p>
    <w:p>
      <w:pPr>
        <w:pStyle w:val="903"/>
        <w:pBdr/>
        <w:spacing/>
        <w:ind/>
        <w:rPr/>
      </w:pPr>
      <w:r>
        <w:rPr>
          <w:rStyle w:val="904"/>
          <w:b/>
          <w:bCs/>
        </w:rPr>
        <w:t xml:space="preserve">Power Management</w:t>
      </w:r>
      <w:r>
        <w:rPr>
          <w:rStyle w:val="904"/>
        </w:rPr>
        <w:t xml:space="preserve">: The removable 186</w:t>
      </w:r>
      <w:r>
        <w:rPr>
          <w:rStyle w:val="904"/>
        </w:rPr>
        <w:t xml:space="preserve">50 battery system allows for continuous operation through battery swapping, with charging time reduced from 20 hours to 4 hours through high-current charging capabilities. Wireless charging support through optional cradle further enhances user convenience.</w:t>
      </w:r>
      <w:hyperlink r:id="rId35" w:tooltip="https://bgeigiezen.safecast.jp" w:history="1">
        <w:r>
          <w:rPr>
            <w:rStyle w:val="907"/>
          </w:rPr>
          <w:t xml:space="preserve">^12</w:t>
        </w:r>
      </w:hyperlink>
      <w:r/>
      <w:r/>
    </w:p>
    <w:p>
      <w:pPr>
        <w:pStyle w:val="903"/>
        <w:pBdr/>
        <w:spacing/>
        <w:ind/>
        <w:rPr/>
      </w:pPr>
      <w:r>
        <w:rPr>
          <w:rStyle w:val="904"/>
          <w:b/>
          <w:bCs/>
        </w:rPr>
        <w:t xml:space="preserve">Firmware Updates</w:t>
      </w:r>
      <w:r>
        <w:rPr>
          <w:rStyle w:val="904"/>
        </w:rPr>
        <w:t xml:space="preserve">: Multiple update pathways including Over-The-Air (OTA), Wi-Fi, Bluetooth, and USB-C connections eliminate the technical barriers that previously required FTDI connections for Nano updates.</w:t>
      </w:r>
      <w:hyperlink r:id="rId36" w:tooltip="https://bgeigiezen.safecast.jp" w:history="1">
        <w:r>
          <w:rPr>
            <w:rStyle w:val="907"/>
          </w:rPr>
          <w:t xml:space="preserve">^2</w:t>
        </w:r>
      </w:hyperlink>
      <w:r/>
      <w:r/>
    </w:p>
    <w:p>
      <w:pPr>
        <w:pStyle w:val="899"/>
        <w:pBdr/>
        <w:spacing/>
        <w:ind/>
        <w:rPr/>
      </w:pPr>
      <w:r>
        <w:rPr>
          <w:rStyle w:val="902"/>
        </w:rPr>
        <w:t xml:space="preserve">Development Challenges and Solutions</w:t>
      </w:r>
      <w:r/>
    </w:p>
    <w:p>
      <w:pPr>
        <w:pStyle w:val="911"/>
        <w:pBdr/>
        <w:spacing/>
        <w:ind/>
        <w:rPr/>
      </w:pPr>
      <w:r>
        <w:rPr>
          <w:rStyle w:val="914"/>
        </w:rPr>
        <w:t xml:space="preserve">Technical Challenges</w:t>
      </w:r>
      <w:r/>
    </w:p>
    <w:p>
      <w:pPr>
        <w:pStyle w:val="903"/>
        <w:pBdr/>
        <w:spacing/>
        <w:ind/>
        <w:rPr/>
      </w:pPr>
      <w:r>
        <w:rPr>
          <w:rStyle w:val="904"/>
          <w:b/>
          <w:bCs/>
        </w:rPr>
        <w:t xml:space="preserve">GPS Accuracy Optimization</w:t>
      </w:r>
      <w:r>
        <w:rPr>
          <w:rStyle w:val="904"/>
        </w:rPr>
        <w:t xml:space="preserve">: Extensive development effort focused on imp</w:t>
      </w:r>
      <w:r>
        <w:rPr>
          <w:rStyle w:val="904"/>
        </w:rPr>
        <w:t xml:space="preserve">roving GPS performance, particularly for airborne applications where standard modules fail due to altitude and speed restrictions. The team developed specialized firmware configurations and testing protocols to optimize satellite acquisition and retention.</w:t>
      </w:r>
      <w:hyperlink r:id="rId37" w:tooltip="https://github.com/Safecast/bGeigie-Drive" w:history="1">
        <w:r>
          <w:rPr>
            <w:rStyle w:val="907"/>
          </w:rPr>
          <w:t xml:space="preserve">^12</w:t>
        </w:r>
      </w:hyperlink>
      <w:r/>
      <w:hyperlink r:id="rId38" w:tooltip="https://www.sciencedirect.com/science/article/abs/pii/S0265931X20301077" w:history="1">
        <w:r>
          <w:rPr>
            <w:rStyle w:val="907"/>
          </w:rPr>
          <w:t xml:space="preserve">^15</w:t>
        </w:r>
      </w:hyperlink>
      <w:r/>
      <w:r/>
    </w:p>
    <w:p>
      <w:pPr>
        <w:pStyle w:val="903"/>
        <w:pBdr/>
        <w:spacing/>
        <w:ind/>
        <w:rPr/>
      </w:pPr>
      <w:r>
        <w:rPr>
          <w:rStyle w:val="904"/>
          <w:b/>
          <w:bCs/>
        </w:rPr>
        <w:t xml:space="preserve">Power Consumption Optimization</w:t>
      </w:r>
      <w:r>
        <w:rPr>
          <w:rStyle w:val="904"/>
        </w:rPr>
        <w:t xml:space="preserve">: Achieving extended battery life required sophisticated software optimization across different operating modes. Through firmware refinements, battery life was extended from an initial 16 hours to up to 45 hours depending on operational mode.</w:t>
      </w:r>
      <w:hyperlink r:id="rId39" w:tooltip="https://safecast.org" w:history="1">
        <w:r>
          <w:rPr>
            <w:rStyle w:val="907"/>
          </w:rPr>
          <w:t xml:space="preserve">^15</w:t>
        </w:r>
      </w:hyperlink>
      <w:r/>
      <w:r/>
    </w:p>
    <w:p>
      <w:pPr>
        <w:pStyle w:val="903"/>
        <w:pBdr/>
        <w:spacing/>
        <w:ind/>
        <w:rPr/>
      </w:pPr>
      <w:r>
        <w:rPr>
          <w:rStyle w:val="904"/>
          <w:b/>
          <w:bCs/>
        </w:rPr>
        <w:t xml:space="preserve">Manufacturing Scalability</w:t>
      </w:r>
      <w:r>
        <w:rPr>
          <w:rStyle w:val="904"/>
        </w:rPr>
        <w:t xml:space="preserve">: Transitioning from the Nano's component-by-component assembly to the Zen's integrated approach required developing new manufacturing processes, quality control procedures, and supply chain management.</w:t>
      </w:r>
      <w:hyperlink r:id="rId40" w:tooltip="https://safecast.org" w:history="1">
        <w:r>
          <w:rPr>
            <w:rStyle w:val="907"/>
          </w:rPr>
          <w:t xml:space="preserve">^12</w:t>
        </w:r>
      </w:hyperlink>
      <w:r/>
      <w:r/>
    </w:p>
    <w:p>
      <w:pPr>
        <w:pStyle w:val="911"/>
        <w:pBdr/>
        <w:spacing/>
        <w:ind/>
        <w:rPr/>
      </w:pPr>
      <w:r>
        <w:rPr>
          <w:rStyle w:val="914"/>
        </w:rPr>
        <w:t xml:space="preserve">Community Integration Challenges</w:t>
      </w:r>
      <w:r/>
    </w:p>
    <w:p>
      <w:pPr>
        <w:pStyle w:val="903"/>
        <w:pBdr/>
        <w:spacing/>
        <w:ind/>
        <w:rPr/>
      </w:pPr>
      <w:r>
        <w:rPr>
          <w:rStyle w:val="904"/>
          <w:b/>
          <w:bCs/>
        </w:rPr>
        <w:t xml:space="preserve">API Compatibility</w:t>
      </w:r>
      <w:r>
        <w:rPr>
          <w:rStyle w:val="904"/>
        </w:rPr>
        <w:t xml:space="preserve">: Ensuring seamless integration with Safecast's existing data infrastructure required extensive testing and refinement of data formats and transmission protocols.</w:t>
      </w:r>
      <w:hyperlink r:id="rId41" w:tooltip="https://ui.adsabs.harvard.edu/abs/2023EPJST.232.1465K/abstract" w:history="1">
        <w:r>
          <w:rPr>
            <w:rStyle w:val="907"/>
          </w:rPr>
          <w:t xml:space="preserve">^16</w:t>
        </w:r>
      </w:hyperlink>
      <w:r/>
      <w:r/>
    </w:p>
    <w:p>
      <w:pPr>
        <w:pStyle w:val="903"/>
        <w:pBdr/>
        <w:spacing/>
        <w:ind/>
        <w:rPr/>
      </w:pPr>
      <w:r>
        <w:rPr>
          <w:rStyle w:val="904"/>
          <w:b/>
          <w:bCs/>
        </w:rPr>
        <w:t xml:space="preserve">User Education</w:t>
      </w:r>
      <w:r>
        <w:rPr>
          <w:rStyle w:val="904"/>
        </w:rPr>
        <w:t xml:space="preserve">: The transition from familiar Arduino-based architecture to M5Stack platform necessitated developing new documentation, training materials, and support resources.</w:t>
      </w:r>
      <w:hyperlink r:id="rId42" w:tooltip="https://safecast.org" w:history="1">
        <w:r>
          <w:rPr>
            <w:rStyle w:val="907"/>
          </w:rPr>
          <w:t xml:space="preserve">^12</w:t>
        </w:r>
      </w:hyperlink>
      <w:r/>
      <w:r/>
    </w:p>
    <w:p>
      <w:pPr>
        <w:pStyle w:val="903"/>
        <w:pBdr/>
        <w:spacing/>
        <w:ind/>
        <w:rPr/>
      </w:pPr>
      <w:r>
        <w:rPr>
          <w:rStyle w:val="904"/>
          <w:b/>
          <w:bCs/>
        </w:rPr>
        <w:t xml:space="preserve">Cost Management</w:t>
      </w:r>
      <w:r>
        <w:rPr>
          <w:rStyle w:val="904"/>
        </w:rPr>
        <w:t xml:space="preserve">: Balancing advanced features with accessibility required careful component selection and design optimization to maintain reasonable pricing while significantly enhancing capabilities.</w:t>
      </w:r>
      <w:hyperlink r:id="rId43" w:tooltip="https://safecast.org/devices/" w:history="1">
        <w:r>
          <w:rPr>
            <w:rStyle w:val="907"/>
          </w:rPr>
          <w:t xml:space="preserve">^3</w:t>
        </w:r>
      </w:hyperlink>
      <w:r/>
      <w:r/>
    </w:p>
    <w:p>
      <w:pPr>
        <w:pStyle w:val="899"/>
        <w:pBdr/>
        <w:spacing/>
        <w:ind/>
        <w:rPr/>
      </w:pPr>
      <w:r>
        <w:rPr>
          <w:rStyle w:val="902"/>
        </w:rPr>
        <w:t xml:space="preserve">Current State and Production Status</w:t>
      </w:r>
      <w:r/>
    </w:p>
    <w:p>
      <w:pPr>
        <w:pStyle w:val="911"/>
        <w:pBdr/>
        <w:spacing/>
        <w:ind/>
        <w:rPr/>
      </w:pPr>
      <w:r>
        <w:rPr>
          <w:rStyle w:val="914"/>
        </w:rPr>
        <w:t xml:space="preserve">Manufacturing and Availability</w:t>
      </w:r>
      <w:r/>
    </w:p>
    <w:p>
      <w:pPr>
        <w:pStyle w:val="903"/>
        <w:pBdr/>
        <w:spacing/>
        <w:ind/>
        <w:rPr/>
      </w:pPr>
      <w:r>
        <w:rPr>
          <w:rStyle w:val="904"/>
        </w:rPr>
        <w:t xml:space="preserve">As of August 2025, Safecast has successfully delivered over 100 bGeigieZen units with a 100% manufacturing success rate. </w:t>
      </w:r>
      <w:r/>
    </w:p>
    <w:p>
      <w:pPr>
        <w:pStyle w:val="903"/>
        <w:pBdr/>
        <w:spacing/>
        <w:ind/>
        <w:rPr/>
      </w:pPr>
      <w:r>
        <w:rPr>
          <w:rStyle w:val="904"/>
          <w:b/>
          <w:bCs/>
          <w:lang w:val="ja-JP"/>
        </w:rPr>
        <w:t xml:space="preserve">Standard </w:t>
      </w:r>
      <w:r>
        <w:rPr>
          <w:rStyle w:val="904"/>
          <w:b/>
          <w:bCs/>
        </w:rPr>
        <w:t xml:space="preserve">Model</w:t>
      </w:r>
      <w:r>
        <w:rPr>
          <w:rStyle w:val="904"/>
          <w:b/>
          <w:bCs/>
          <w:lang w:val="ja-JP"/>
        </w:rPr>
        <w:t xml:space="preserve">(V4.2.0)</w:t>
      </w:r>
      <w:r>
        <w:rPr>
          <w:rStyle w:val="904"/>
        </w:rPr>
        <w:t xml:space="preserve">: Minimalist design relying on wireless charging and M5Stack Core USB-C charging for a cleaner aesthetic.</w:t>
      </w:r>
      <w:hyperlink r:id="rId44" w:tooltip="https://safecast.org/devices/bgeigie-zen/" w:history="1">
        <w:r>
          <w:rPr>
            <w:rStyle w:val="907"/>
          </w:rPr>
          <w:t xml:space="preserve">^18</w:t>
        </w:r>
      </w:hyperlink>
      <w:r/>
      <w:r/>
    </w:p>
    <w:p>
      <w:pPr>
        <w:pStyle w:val="911"/>
        <w:pBdr/>
        <w:spacing/>
        <w:ind/>
        <w:rPr/>
      </w:pPr>
      <w:r>
        <w:rPr>
          <w:rStyle w:val="914"/>
        </w:rPr>
        <w:t xml:space="preserve">Ongoing Development</w:t>
      </w:r>
      <w:r/>
    </w:p>
    <w:p>
      <w:pPr>
        <w:pStyle w:val="903"/>
        <w:pBdr/>
        <w:spacing/>
        <w:ind/>
        <w:rPr/>
      </w:pPr>
      <w:r>
        <w:rPr>
          <w:rStyle w:val="904"/>
          <w:b/>
          <w:bCs/>
        </w:rPr>
        <w:t xml:space="preserve">Version 4.x.x Generation</w:t>
      </w:r>
      <w:r>
        <w:rPr>
          <w:rStyle w:val="904"/>
        </w:rPr>
        <w:t xml:space="preserve">: Current production focuses on the fourth-generation design featuring enhanced PCB layout, 3D-printed tube covers replacing metal grids, and improved component integration based on user feedback from earlier versions.</w:t>
      </w:r>
      <w:hyperlink r:id="rId45" w:tooltip="https://safecast.org" w:history="1">
        <w:r>
          <w:rPr>
            <w:rStyle w:val="907"/>
          </w:rPr>
          <w:t xml:space="preserve">^12</w:t>
        </w:r>
      </w:hyperlink>
      <w:r/>
      <w:r/>
    </w:p>
    <w:p>
      <w:pPr>
        <w:pStyle w:val="903"/>
        <w:pBdr/>
        <w:spacing/>
        <w:ind/>
        <w:rPr/>
      </w:pPr>
      <w:r>
        <w:rPr>
          <w:rStyle w:val="904"/>
          <w:b/>
          <w:bCs/>
        </w:rPr>
        <w:t xml:space="preserve">Software Enhancements</w:t>
      </w:r>
      <w:r>
        <w:rPr>
          <w:rStyle w:val="904"/>
        </w:rPr>
        <w:t xml:space="preserve">: Regular firmware updates continue adding features including:</w:t>
      </w:r>
      <w:r/>
    </w:p>
    <w:p>
      <w:pPr>
        <w:pStyle w:val="927"/>
        <w:numPr>
          <w:ilvl w:val="0"/>
          <w:numId w:val="1"/>
        </w:numPr>
        <w:pBdr/>
        <w:spacing/>
        <w:ind/>
        <w:rPr/>
      </w:pPr>
      <w:r>
        <w:rPr>
          <w:rStyle w:val="928"/>
        </w:rPr>
        <w:t xml:space="preserve">Dual WiFi network support for seamless connectivity</w:t>
      </w:r>
      <w:hyperlink r:id="rId46" w:tooltip="https://safecast.org" w:history="1">
        <w:r>
          <w:rPr>
            <w:rStyle w:val="930"/>
          </w:rPr>
          <w:t xml:space="preserve">^12</w:t>
        </w:r>
      </w:hyperlink>
      <w:r/>
      <w:r/>
    </w:p>
    <w:p>
      <w:pPr>
        <w:pStyle w:val="927"/>
        <w:numPr>
          <w:ilvl w:val="0"/>
          <w:numId w:val="1"/>
        </w:numPr>
        <w:pBdr/>
        <w:spacing/>
        <w:ind/>
        <w:rPr/>
      </w:pPr>
      <w:r>
        <w:rPr>
          <w:rStyle w:val="928"/>
        </w:rPr>
        <w:t xml:space="preserve">Enhanced GPS memory retention for faster startup</w:t>
      </w:r>
      <w:hyperlink r:id="rId47" w:tooltip="https://safecast.org" w:history="1">
        <w:r>
          <w:rPr>
            <w:rStyle w:val="930"/>
          </w:rPr>
          <w:t xml:space="preserve">^12</w:t>
        </w:r>
      </w:hyperlink>
      <w:r/>
      <w:r/>
    </w:p>
    <w:p>
      <w:pPr>
        <w:pStyle w:val="927"/>
        <w:numPr>
          <w:ilvl w:val="0"/>
          <w:numId w:val="1"/>
        </w:numPr>
        <w:pBdr/>
        <w:spacing/>
        <w:ind/>
        <w:rPr/>
      </w:pPr>
      <w:r>
        <w:rPr>
          <w:rStyle w:val="928"/>
        </w:rPr>
        <w:t xml:space="preserve">Improved power optimization across all operational modes</w:t>
      </w:r>
      <w:hyperlink r:id="rId48" w:tooltip="https://safecast.org" w:history="1">
        <w:r>
          <w:rPr>
            <w:rStyle w:val="930"/>
          </w:rPr>
          <w:t xml:space="preserve">^12</w:t>
        </w:r>
      </w:hyperlink>
      <w:r/>
      <w:r/>
    </w:p>
    <w:p>
      <w:pPr>
        <w:pStyle w:val="927"/>
        <w:numPr>
          <w:ilvl w:val="0"/>
          <w:numId w:val="1"/>
        </w:numPr>
        <w:pBdr/>
        <w:spacing/>
        <w:ind/>
        <w:rPr/>
      </w:pPr>
      <w:r>
        <w:rPr>
          <w:rStyle w:val="928"/>
        </w:rPr>
        <w:t xml:space="preserve">Audio feedback system providing authentic Geiger counter sounds</w:t>
      </w:r>
      <w:hyperlink r:id="rId49" w:tooltip="https://safecast.org" w:history="1">
        <w:r>
          <w:rPr>
            <w:rStyle w:val="930"/>
          </w:rPr>
          <w:t xml:space="preserve">^12</w:t>
        </w:r>
      </w:hyperlink>
      <w:r/>
      <w:r/>
    </w:p>
    <w:p>
      <w:pPr>
        <w:pStyle w:val="927"/>
        <w:numPr>
          <w:ilvl w:val="0"/>
          <w:numId w:val="1"/>
        </w:numPr>
        <w:pBdr/>
        <w:spacing/>
        <w:ind/>
        <w:rPr/>
      </w:pPr>
      <w:r>
        <w:rPr>
          <w:rStyle w:val="928"/>
        </w:rPr>
        <w:t xml:space="preserve">Special aviation mode for high-altitude data collection</w:t>
      </w:r>
      <w:hyperlink r:id="rId50" w:tooltip="https://safecast.org" w:history="1">
        <w:r>
          <w:rPr>
            <w:rStyle w:val="930"/>
          </w:rPr>
          <w:t xml:space="preserve">^12</w:t>
        </w:r>
      </w:hyperlink>
      <w:r/>
      <w:r/>
    </w:p>
    <w:p>
      <w:pPr>
        <w:pStyle w:val="911"/>
        <w:pBdr/>
        <w:spacing/>
        <w:ind/>
        <w:rPr/>
      </w:pPr>
      <w:r>
        <w:rPr>
          <w:rStyle w:val="914"/>
        </w:rPr>
        <w:t xml:space="preserve">Community Adoption and Applications</w:t>
      </w:r>
      <w:r/>
    </w:p>
    <w:p>
      <w:pPr>
        <w:pStyle w:val="903"/>
        <w:pBdr/>
        <w:spacing/>
        <w:ind/>
        <w:rPr/>
      </w:pPr>
      <w:r>
        <w:rPr>
          <w:rStyle w:val="904"/>
          <w:b/>
          <w:bCs/>
        </w:rPr>
        <w:t xml:space="preserve">Educational Integration</w:t>
      </w:r>
      <w:r>
        <w:rPr>
          <w:rStyle w:val="904"/>
        </w:rPr>
        <w:t xml:space="preserve">: Multiple universities including Amsterdam University of Applied Sciences and Humboldt-Universität zu Berlin have adopted the bGeigieZen for teaching and research applications.</w:t>
      </w:r>
      <w:hyperlink r:id="rId51" w:tooltip="https://safecast.org" w:history="1">
        <w:r>
          <w:rPr>
            <w:rStyle w:val="907"/>
          </w:rPr>
          <w:t xml:space="preserve">^12</w:t>
        </w:r>
      </w:hyperlink>
      <w:r/>
      <w:r/>
    </w:p>
    <w:p>
      <w:pPr>
        <w:pStyle w:val="903"/>
        <w:pBdr/>
        <w:spacing/>
        <w:ind/>
        <w:rPr/>
      </w:pPr>
      <w:r>
        <w:rPr>
          <w:rStyle w:val="904"/>
          <w:b/>
          <w:bCs/>
        </w:rPr>
        <w:t xml:space="preserve">Research Applications</w:t>
      </w:r>
      <w:r>
        <w:rPr>
          <w:rStyle w:val="904"/>
        </w:rPr>
        <w:t xml:space="preserve">: Researchers are utilizing the device for various projects including UAV-mounted radiation mapping and environmental monitoring around nuclear facilities.</w:t>
      </w:r>
      <w:hyperlink r:id="rId52" w:tooltip="https://bgeigiezen.safecast.jp" w:history="1">
        <w:r>
          <w:rPr>
            <w:rStyle w:val="907"/>
          </w:rPr>
          <w:t xml:space="preserve">^2</w:t>
        </w:r>
      </w:hyperlink>
      <w:r/>
      <w:r/>
    </w:p>
    <w:p>
      <w:pPr>
        <w:pStyle w:val="903"/>
        <w:pBdr/>
        <w:spacing/>
        <w:ind/>
        <w:rPr/>
      </w:pPr>
      <w:r>
        <w:rPr>
          <w:rStyle w:val="904"/>
          <w:b/>
          <w:bCs/>
        </w:rPr>
        <w:t xml:space="preserve">Global Deployment</w:t>
      </w:r>
      <w:r>
        <w:rPr>
          <w:rStyle w:val="904"/>
        </w:rPr>
        <w:t xml:space="preserve">: Units have been deployed worldwide, including specialized installations for real-time monitoring near nuclear facilities such as the Pickering Nuclear Generating Station in Canada.</w:t>
      </w:r>
      <w:hyperlink r:id="rId53" w:tooltip="https://safecast.org" w:history="1">
        <w:r>
          <w:rPr>
            <w:rStyle w:val="907"/>
          </w:rPr>
          <w:t xml:space="preserve">^12</w:t>
        </w:r>
      </w:hyperlink>
      <w:r/>
      <w:r/>
    </w:p>
    <w:p>
      <w:pPr>
        <w:pStyle w:val="899"/>
        <w:pBdr/>
        <w:spacing/>
        <w:ind/>
        <w:rPr/>
      </w:pPr>
      <w:r>
        <w:rPr>
          <w:rStyle w:val="902"/>
        </w:rPr>
        <w:t xml:space="preserve">Future Outlook and Roadmap</w:t>
      </w:r>
      <w:r/>
    </w:p>
    <w:p>
      <w:pPr>
        <w:pStyle w:val="911"/>
        <w:pBdr/>
        <w:spacing/>
        <w:ind/>
        <w:rPr/>
      </w:pPr>
      <w:r>
        <w:rPr>
          <w:rStyle w:val="914"/>
        </w:rPr>
        <w:t xml:space="preserve">Hardware Evolution</w:t>
      </w:r>
      <w:r/>
    </w:p>
    <w:p>
      <w:pPr>
        <w:pStyle w:val="903"/>
        <w:pBdr/>
        <w:spacing/>
        <w:ind/>
        <w:rPr/>
      </w:pPr>
      <w:r>
        <w:rPr>
          <w:rStyle w:val="904"/>
          <w:b/>
          <w:bCs/>
        </w:rPr>
        <w:t xml:space="preserve">Next-Generation Development</w:t>
      </w:r>
      <w:r>
        <w:rPr>
          <w:rStyle w:val="904"/>
        </w:rPr>
        <w:t xml:space="preserve">: Early alpha development of Version 5.x.x is underway, featuring potential dual 18650 battery configurations and advanced counting chip integration.</w:t>
      </w:r>
      <w:hyperlink r:id="rId54" w:tooltip="https://safecast.org" w:history="1">
        <w:r>
          <w:rPr>
            <w:rStyle w:val="907"/>
          </w:rPr>
          <w:t xml:space="preserve">^12</w:t>
        </w:r>
      </w:hyperlink>
      <w:r/>
      <w:r/>
    </w:p>
    <w:p>
      <w:pPr>
        <w:pStyle w:val="903"/>
        <w:pBdr/>
        <w:spacing/>
        <w:ind/>
        <w:rPr/>
      </w:pPr>
      <w:r>
        <w:rPr>
          <w:rStyle w:val="904"/>
          <w:b/>
          <w:bCs/>
        </w:rPr>
        <w:t xml:space="preserve">Connectivity Expansion</w:t>
      </w:r>
      <w:r>
        <w:rPr>
          <w:rStyle w:val="904"/>
        </w:rPr>
        <w:t xml:space="preserve">: Future versions may include 4G and satellite connectivity capabilities for enhanced data transmission in remote areas.</w:t>
      </w:r>
      <w:hyperlink r:id="rId55" w:tooltip="https://safecast.org/devices/" w:history="1">
        <w:r>
          <w:rPr>
            <w:rStyle w:val="907"/>
          </w:rPr>
          <w:t xml:space="preserve">^3</w:t>
        </w:r>
      </w:hyperlink>
      <w:r/>
      <w:r/>
    </w:p>
    <w:p>
      <w:pPr>
        <w:pStyle w:val="903"/>
        <w:pBdr/>
        <w:spacing/>
        <w:ind/>
        <w:rPr/>
      </w:pPr>
      <w:r>
        <w:rPr>
          <w:rStyle w:val="904"/>
          <w:b/>
          <w:bCs/>
        </w:rPr>
        <w:t xml:space="preserve">Sensor Integration</w:t>
      </w:r>
      <w:r>
        <w:rPr>
          <w:rStyle w:val="904"/>
        </w:rPr>
        <w:t xml:space="preserve">: The Grove I2C connector allows for easy integration of additional environmental sensors, expanding monitoring capabilities beyond radiation detection.</w:t>
      </w:r>
      <w:hyperlink r:id="rId56" w:tooltip="https://bgeigiezen.safecast.jp" w:history="1">
        <w:r>
          <w:rPr>
            <w:rStyle w:val="907"/>
          </w:rPr>
          <w:t xml:space="preserve">^2</w:t>
        </w:r>
      </w:hyperlink>
      <w:r/>
      <w:r/>
    </w:p>
    <w:p>
      <w:pPr>
        <w:pStyle w:val="911"/>
        <w:pBdr/>
        <w:spacing/>
        <w:ind/>
        <w:rPr/>
      </w:pPr>
      <w:r>
        <w:rPr>
          <w:rStyle w:val="914"/>
        </w:rPr>
        <w:t xml:space="preserve">Software and Platform Development</w:t>
      </w:r>
      <w:r/>
    </w:p>
    <w:p>
      <w:pPr>
        <w:pStyle w:val="903"/>
        <w:pBdr/>
        <w:spacing/>
        <w:ind/>
        <w:rPr/>
      </w:pPr>
      <w:r>
        <w:rPr>
          <w:rStyle w:val="904"/>
          <w:b/>
          <w:bCs/>
        </w:rPr>
        <w:t xml:space="preserve">Mobile Application</w:t>
      </w:r>
      <w:r>
        <w:rPr>
          <w:rStyle w:val="904"/>
        </w:rPr>
        <w:t xml:space="preserve">: The bGeigie-Drive Android application is nearing release, providing direct smartphone interface for data visualization and management, with iOS version planned for later release.</w:t>
      </w:r>
      <w:hyperlink r:id="rId57" w:tooltip="https://safecast.org" w:history="1">
        <w:r>
          <w:rPr>
            <w:rStyle w:val="907"/>
          </w:rPr>
          <w:t xml:space="preserve">^12</w:t>
        </w:r>
      </w:hyperlink>
      <w:r/>
      <w:r/>
    </w:p>
    <w:p>
      <w:pPr>
        <w:pStyle w:val="903"/>
        <w:pBdr/>
        <w:spacing/>
        <w:ind/>
        <w:rPr/>
      </w:pPr>
      <w:r>
        <w:rPr>
          <w:rStyle w:val="904"/>
          <w:b/>
          <w:bCs/>
        </w:rPr>
        <w:t xml:space="preserve">Real-time Infrastructure</w:t>
      </w:r>
      <w:r>
        <w:rPr>
          <w:rStyle w:val="904"/>
        </w:rPr>
        <w:t xml:space="preserve">: Continued development of real-time data infrastructure including Grafana dashboards and improved API integration for immediate data availability.</w:t>
      </w:r>
      <w:hyperlink r:id="rId58" w:tooltip="https://safecast.org" w:history="1">
        <w:r>
          <w:rPr>
            <w:rStyle w:val="907"/>
          </w:rPr>
          <w:t xml:space="preserve">^12</w:t>
        </w:r>
      </w:hyperlink>
      <w:r/>
      <w:r/>
    </w:p>
    <w:p>
      <w:pPr>
        <w:pStyle w:val="903"/>
        <w:pBdr/>
        <w:spacing/>
        <w:ind/>
        <w:rPr/>
      </w:pPr>
      <w:r>
        <w:rPr>
          <w:rStyle w:val="904"/>
          <w:b/>
          <w:bCs/>
        </w:rPr>
        <w:t xml:space="preserve">Open Source Commitment</w:t>
      </w:r>
      <w:r>
        <w:rPr>
          <w:rStyle w:val="904"/>
        </w:rPr>
        <w:t xml:space="preserve">: Ongoing transition to fully open-source hardware and software ensures long-term community sustainability and eliminates proprietary dependencies.</w:t>
      </w:r>
      <w:hyperlink r:id="rId59" w:tooltip="https://github.com/Safecast/bGeigie-Drive" w:history="1">
        <w:r>
          <w:rPr>
            <w:rStyle w:val="907"/>
          </w:rPr>
          <w:t xml:space="preserve">^14</w:t>
        </w:r>
      </w:hyperlink>
      <w:r/>
      <w:r/>
    </w:p>
    <w:p>
      <w:pPr>
        <w:pStyle w:val="899"/>
        <w:pBdr/>
        <w:spacing/>
        <w:ind/>
        <w:rPr/>
      </w:pPr>
      <w:r>
        <w:rPr>
          <w:rStyle w:val="902"/>
        </w:rPr>
        <w:t xml:space="preserve">Conclusion</w:t>
      </w:r>
      <w:r/>
    </w:p>
    <w:p>
      <w:pPr>
        <w:pStyle w:val="903"/>
        <w:pBdr/>
        <w:spacing/>
        <w:ind/>
        <w:rPr/>
      </w:pPr>
      <w:r>
        <w:rPr>
          <w:rStyle w:val="904"/>
        </w:rPr>
        <w:t xml:space="preserve">The transi</w:t>
      </w:r>
      <w:r>
        <w:rPr>
          <w:rStyle w:val="904"/>
        </w:rPr>
        <w:t xml:space="preserve">tion from bGeigieNano to bGeigieZen represents a paradigmatic shift in citizen science instrumentation, successfully addressing the critical challenges that threatened the sustainability of Safecast's radiation monitoring mission. Through innovative engine</w:t>
      </w:r>
      <w:r>
        <w:rPr>
          <w:rStyle w:val="904"/>
        </w:rPr>
        <w:t xml:space="preserve">ering, community-driven design, and sustained development effort, the bGeigieZen has evolved from a promising concept announced in 2021 to a production-ready device that significantly surpasses its predecessor in capabilities, usability, and accessibility.</w:t>
      </w:r>
      <w:r/>
    </w:p>
    <w:p>
      <w:pPr>
        <w:pStyle w:val="903"/>
        <w:pBdr/>
        <w:spacing/>
        <w:ind/>
        <w:rPr/>
      </w:pPr>
      <w:r>
        <w:rPr>
          <w:rStyle w:val="904"/>
        </w:rPr>
        <w:t xml:space="preserve">The Zen's success is measured not only in technical specifications - with 500x increase in memory capacity,</w:t>
      </w:r>
      <w:r>
        <w:rPr>
          <w:rStyle w:val="904"/>
        </w:rPr>
        <w:t xml:space="preserve"> 87% reduction in assembly time, and integrated wireless capabilities - but in its proven ability to maintain Safecast's core mission of open, accessible environmental monitoring while adapting to contemporary technological standards and user expectations.</w:t>
      </w:r>
      <w:r/>
    </w:p>
    <w:p>
      <w:pPr>
        <w:pStyle w:val="903"/>
        <w:pBdr/>
        <w:spacing/>
        <w:ind/>
        <w:rPr/>
      </w:pPr>
      <w:r>
        <w:rPr>
          <w:rStyle w:val="904"/>
        </w:rPr>
        <w:t xml:space="preserve">This transition demonstrates the resilience and adaptability of open-source citizen science projects, showing how community feedback, techno</w:t>
      </w:r>
      <w:r>
        <w:rPr>
          <w:rStyle w:val="904"/>
        </w:rPr>
        <w:t xml:space="preserve">logical advancement, and persistent development can overcome significant challenges to produce solutions that serve both immediate practical needs and long-term scientific goals. As the bGeigieZen continues to evolve through ongoing development cycles, it </w:t>
      </w:r>
      <w:r>
        <w:rPr>
          <w:rStyle w:val="904"/>
        </w:rPr>
        <w:t xml:space="preserve">establishes a foundation for the next decade of citizen-led environmental monitoring, ensuring that Safecast's mission of transparency, accessibility, and data democratization remains viable and effective in an increasingly complex technological landscape.</w:t>
      </w:r>
      <w:r/>
    </w:p>
    <w:p>
      <w:pPr>
        <w:pStyle w:val="903"/>
        <w:pBdr/>
        <w:spacing/>
        <w:ind/>
        <w:rPr/>
      </w:pPr>
      <w:r>
        <w:rPr>
          <w:rStyle w:val="904"/>
        </w:rPr>
        <w:t xml:space="preserve">The successful completion of this transition, marked by the delivery of over 100 units with perfect manufacturing reliability, validates both the technical approach and the community-driven development model that has characte</w:t>
      </w:r>
      <w:r>
        <w:rPr>
          <w:rStyle w:val="904"/>
        </w:rPr>
        <w:t xml:space="preserve">rized Safecast since its founding in response to the Fukushima disaster. The bGeigieZen stands as evidence that citizen science can not only adapt to technological change but can drive innovation in service of public interest and environmental stewardship.</w:t>
      </w:r>
      <w:r/>
    </w:p>
    <w:p>
      <w:pPr>
        <w:pStyle w:val="931"/>
        <w:pBdr/>
        <w:spacing/>
        <w:ind/>
        <w:rPr/>
      </w:pPr>
      <w:r>
        <w:rPr>
          <w:rStyle w:val="932"/>
        </w:rPr>
        <w:t xml:space="preserve">⁂</w:t>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rFonts w:ascii="Symbol" w:hAnsi="Symbol" w:eastAsia="Symbol" w:cs="Symbol"/>
      </w:rPr>
      <w:start w:val="1"/>
      <w:suff w:val="tab"/>
    </w:lvl>
    <w:lvl w:ilvl="1">
      <w:isLgl w:val="false"/>
      <w:lvlJc w:val="left"/>
      <w:lvlText w:val="o"/>
      <w:numFmt w:val="bullet"/>
      <w:pPr>
        <w:pBdr/>
        <w:spacing/>
        <w:ind w:hanging="360" w:left="1440"/>
      </w:pPr>
      <w:rPr>
        <w:rFonts w:ascii="Courier New" w:hAnsi="Courier New" w:eastAsia="Courier New" w:cs="Courier New"/>
      </w:rPr>
      <w:start w:val="1"/>
      <w:suff w:val="tab"/>
    </w:lvl>
    <w:lvl w:ilvl="2">
      <w:isLgl w:val="false"/>
      <w:lvlJc w:val="left"/>
      <w:lvlText w:val="§"/>
      <w:numFmt w:val="bullet"/>
      <w:pPr>
        <w:pBdr/>
        <w:spacing/>
        <w:ind w:hanging="360" w:left="2160"/>
      </w:pPr>
      <w:rPr>
        <w:rFonts w:ascii="Wingdings" w:hAnsi="Wingdings" w:eastAsia="Wingdings" w:cs="Wingdings"/>
      </w:rPr>
      <w:start w:val="1"/>
      <w:suff w:val="tab"/>
    </w:lvl>
    <w:lvl w:ilvl="3">
      <w:isLgl w:val="false"/>
      <w:lvlJc w:val="left"/>
      <w:lvlText w:val="·"/>
      <w:numFmt w:val="bullet"/>
      <w:pPr>
        <w:pBdr/>
        <w:spacing/>
        <w:ind w:hanging="360" w:left="2880"/>
      </w:pPr>
      <w:rPr>
        <w:rFonts w:ascii="Symbol" w:hAnsi="Symbol" w:eastAsia="Symbol" w:cs="Symbol"/>
      </w:rPr>
      <w:start w:val="1"/>
      <w:suff w:val="tab"/>
    </w:lvl>
    <w:lvl w:ilvl="4">
      <w:isLgl w:val="false"/>
      <w:lvlJc w:val="left"/>
      <w:lvlText w:val="o"/>
      <w:numFmt w:val="bullet"/>
      <w:pPr>
        <w:pBdr/>
        <w:spacing/>
        <w:ind w:hanging="360" w:left="3600"/>
      </w:pPr>
      <w:rPr>
        <w:rFonts w:ascii="Courier New" w:hAnsi="Courier New" w:eastAsia="Courier New" w:cs="Courier New"/>
      </w:rPr>
      <w:start w:val="1"/>
      <w:suff w:val="tab"/>
    </w:lvl>
    <w:lvl w:ilvl="5">
      <w:isLgl w:val="false"/>
      <w:lvlJc w:val="left"/>
      <w:lvlText w:val="§"/>
      <w:numFmt w:val="bullet"/>
      <w:pPr>
        <w:pBdr/>
        <w:spacing/>
        <w:ind w:hanging="360" w:left="4320"/>
      </w:pPr>
      <w:rPr>
        <w:rFonts w:ascii="Wingdings" w:hAnsi="Wingdings" w:eastAsia="Wingdings" w:cs="Wingdings"/>
      </w:rPr>
      <w:start w:val="1"/>
      <w:suff w:val="tab"/>
    </w:lvl>
    <w:lvl w:ilvl="6">
      <w:isLgl w:val="false"/>
      <w:lvlJc w:val="left"/>
      <w:lvlText w:val="·"/>
      <w:numFmt w:val="bullet"/>
      <w:pPr>
        <w:pBdr/>
        <w:spacing/>
        <w:ind w:hanging="360" w:left="5040"/>
      </w:pPr>
      <w:rPr>
        <w:rFonts w:ascii="Symbol" w:hAnsi="Symbol" w:eastAsia="Symbol" w:cs="Symbol"/>
      </w:rPr>
      <w:start w:val="1"/>
      <w:suff w:val="tab"/>
    </w:lvl>
    <w:lvl w:ilvl="7">
      <w:isLgl w:val="false"/>
      <w:lvlJc w:val="left"/>
      <w:lvlText w:val="o"/>
      <w:numFmt w:val="bullet"/>
      <w:pPr>
        <w:pBdr/>
        <w:spacing/>
        <w:ind w:hanging="360" w:left="5760"/>
      </w:pPr>
      <w:rPr>
        <w:rFonts w:ascii="Courier New" w:hAnsi="Courier New" w:eastAsia="Courier New" w:cs="Courier New"/>
      </w:rPr>
      <w:start w:val="1"/>
      <w:suff w:val="tab"/>
    </w:lvl>
    <w:lvl w:ilvl="8">
      <w:isLgl w:val="false"/>
      <w:lvlJc w:val="left"/>
      <w:lvlText w:val="§"/>
      <w:numFmt w:val="bullet"/>
      <w:pPr>
        <w:pBdr/>
        <w:spacing/>
        <w:ind w:hanging="360" w:left="6480"/>
      </w:pPr>
      <w:rPr>
        <w:rFonts w:ascii="Wingdings" w:hAnsi="Wingdings" w:eastAsia="Wingdings" w:cs="Wingdings"/>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Table Grid"/>
    <w:basedOn w:val="70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Table Grid Light"/>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1"/>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2"/>
    <w:basedOn w:val="7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Plain Table 3"/>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Plain Table 4"/>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5"/>
    <w:basedOn w:val="7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w:basedOn w:val="7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w:basedOn w:val="7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1"/>
    <w:basedOn w:val="7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5"/>
    <w:basedOn w:val="7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6"/>
    <w:basedOn w:val="7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w:basedOn w:val="7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1"/>
    <w:basedOn w:val="7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2"/>
    <w:basedOn w:val="7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3"/>
    <w:basedOn w:val="7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 Accent 4"/>
    <w:basedOn w:val="7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5"/>
    <w:basedOn w:val="7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6"/>
    <w:basedOn w:val="7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1"/>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2"/>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3"/>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Accent 4"/>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 Accent 5"/>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6"/>
    <w:basedOn w:val="7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7">
    <w:name w:val="Grid Table 6 Colorful - Accent 1"/>
    <w:basedOn w:val="7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8">
    <w:name w:val="Grid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9">
    <w:name w:val="Grid Table 6 Colorful - Accent 3"/>
    <w:basedOn w:val="7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0">
    <w:name w:val="Grid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1">
    <w:name w:val="Grid Table 6 Colorful - Accent 5"/>
    <w:basedOn w:val="7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2">
    <w:name w:val="Grid Table 6 Colorful - Accent 6"/>
    <w:basedOn w:val="7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3">
    <w:name w:val="Grid Table 7 Colorful"/>
    <w:basedOn w:val="7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1"/>
    <w:basedOn w:val="7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2"/>
    <w:basedOn w:val="7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3"/>
    <w:basedOn w:val="7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7 Colorful - Accent 4"/>
    <w:basedOn w:val="7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5"/>
    <w:basedOn w:val="7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6"/>
    <w:basedOn w:val="7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1"/>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2"/>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3"/>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 Accent 4"/>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5"/>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6"/>
    <w:basedOn w:val="7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w:basedOn w:val="7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1"/>
    <w:basedOn w:val="7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2"/>
    <w:basedOn w:val="7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3"/>
    <w:basedOn w:val="7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 Accent 4"/>
    <w:basedOn w:val="7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5"/>
    <w:basedOn w:val="7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6"/>
    <w:basedOn w:val="7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1"/>
    <w:basedOn w:val="7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2"/>
    <w:basedOn w:val="7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3"/>
    <w:basedOn w:val="7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 Accent 4"/>
    <w:basedOn w:val="7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5"/>
    <w:basedOn w:val="7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6"/>
    <w:basedOn w:val="7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w:basedOn w:val="7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1"/>
    <w:basedOn w:val="7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2"/>
    <w:basedOn w:val="7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3"/>
    <w:basedOn w:val="7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 Accent 4"/>
    <w:basedOn w:val="7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5"/>
    <w:basedOn w:val="7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6"/>
    <w:basedOn w:val="7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5 Dark"/>
    <w:basedOn w:val="7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1"/>
    <w:basedOn w:val="7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2"/>
    <w:basedOn w:val="7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3"/>
    <w:basedOn w:val="7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5 Dark - Accent 4"/>
    <w:basedOn w:val="7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5"/>
    <w:basedOn w:val="7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6"/>
    <w:basedOn w:val="7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6 Colorful"/>
    <w:basedOn w:val="7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1"/>
    <w:basedOn w:val="7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2"/>
    <w:basedOn w:val="7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3"/>
    <w:basedOn w:val="7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6 Colorful - Accent 4"/>
    <w:basedOn w:val="7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5"/>
    <w:basedOn w:val="7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6"/>
    <w:basedOn w:val="7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7 Colorful"/>
    <w:basedOn w:val="7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3">
    <w:name w:val="List Table 7 Colorful - Accent 1"/>
    <w:basedOn w:val="7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4">
    <w:name w:val="List Table 7 Colorful - Accent 2"/>
    <w:basedOn w:val="7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05">
    <w:name w:val="List Table 7 Colorful - Accent 3"/>
    <w:basedOn w:val="7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06">
    <w:name w:val="List Table 7 Colorful - Accent 4"/>
    <w:basedOn w:val="7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7">
    <w:name w:val="List Table 7 Colorful - Accent 5"/>
    <w:basedOn w:val="7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08">
    <w:name w:val="List Table 7 Colorful - Accent 6"/>
    <w:basedOn w:val="7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9">
    <w:name w:val="Lined - Accent"/>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1"/>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2"/>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3"/>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ned - Accent 4"/>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5"/>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6"/>
    <w:basedOn w:val="7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w:basedOn w:val="7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1"/>
    <w:basedOn w:val="7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2"/>
    <w:basedOn w:val="7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3"/>
    <w:basedOn w:val="7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4"/>
    <w:basedOn w:val="7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5"/>
    <w:basedOn w:val="7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6"/>
    <w:basedOn w:val="7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w:basedOn w:val="7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1"/>
    <w:basedOn w:val="7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2"/>
    <w:basedOn w:val="7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3"/>
    <w:basedOn w:val="7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 Accent 4"/>
    <w:basedOn w:val="7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5"/>
    <w:basedOn w:val="7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6"/>
    <w:basedOn w:val="7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0">
    <w:name w:val="Heading 5"/>
    <w:basedOn w:val="884"/>
    <w:next w:val="884"/>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1">
    <w:name w:val="Heading 6"/>
    <w:basedOn w:val="884"/>
    <w:next w:val="884"/>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2">
    <w:name w:val="Heading 7"/>
    <w:basedOn w:val="884"/>
    <w:next w:val="884"/>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3">
    <w:name w:val="Heading 8"/>
    <w:basedOn w:val="884"/>
    <w:next w:val="884"/>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4">
    <w:name w:val="Heading 9"/>
    <w:basedOn w:val="884"/>
    <w:next w:val="884"/>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5" w:default="1">
    <w:name w:val="Default Paragraph Font"/>
    <w:uiPriority w:val="1"/>
    <w:semiHidden/>
    <w:unhideWhenUsed/>
    <w:pPr>
      <w:pBdr/>
      <w:spacing/>
      <w:ind/>
    </w:pPr>
  </w:style>
  <w:style w:type="numbering" w:styleId="836" w:default="1">
    <w:name w:val="No List"/>
    <w:uiPriority w:val="99"/>
    <w:semiHidden/>
    <w:unhideWhenUsed/>
    <w:pPr>
      <w:pBdr/>
      <w:spacing/>
      <w:ind/>
    </w:pPr>
  </w:style>
  <w:style w:type="character" w:styleId="837">
    <w:name w:val="Heading 1 Char"/>
    <w:basedOn w:val="835"/>
    <w:link w:val="891"/>
    <w:uiPriority w:val="9"/>
    <w:pPr>
      <w:pBdr/>
      <w:spacing/>
      <w:ind/>
    </w:pPr>
    <w:rPr>
      <w:rFonts w:ascii="Arial" w:hAnsi="Arial" w:eastAsia="Arial" w:cs="Arial"/>
      <w:color w:val="0f4761" w:themeColor="accent1" w:themeShade="BF"/>
      <w:sz w:val="40"/>
      <w:szCs w:val="40"/>
    </w:rPr>
  </w:style>
  <w:style w:type="character" w:styleId="838">
    <w:name w:val="Heading 2 Char"/>
    <w:basedOn w:val="835"/>
    <w:link w:val="897"/>
    <w:uiPriority w:val="9"/>
    <w:pPr>
      <w:pBdr/>
      <w:spacing/>
      <w:ind/>
    </w:pPr>
    <w:rPr>
      <w:rFonts w:ascii="Arial" w:hAnsi="Arial" w:eastAsia="Arial" w:cs="Arial"/>
      <w:color w:val="0f4761" w:themeColor="accent1" w:themeShade="BF"/>
      <w:sz w:val="32"/>
      <w:szCs w:val="32"/>
    </w:rPr>
  </w:style>
  <w:style w:type="character" w:styleId="839">
    <w:name w:val="Heading 3 Char"/>
    <w:basedOn w:val="835"/>
    <w:link w:val="909"/>
    <w:uiPriority w:val="9"/>
    <w:pPr>
      <w:pBdr/>
      <w:spacing/>
      <w:ind/>
    </w:pPr>
    <w:rPr>
      <w:rFonts w:ascii="Arial" w:hAnsi="Arial" w:eastAsia="Arial" w:cs="Arial"/>
      <w:color w:val="0f4761" w:themeColor="accent1" w:themeShade="BF"/>
      <w:sz w:val="28"/>
      <w:szCs w:val="28"/>
    </w:rPr>
  </w:style>
  <w:style w:type="character" w:styleId="840">
    <w:name w:val="Heading 4 Char"/>
    <w:basedOn w:val="835"/>
    <w:link w:val="915"/>
    <w:uiPriority w:val="9"/>
    <w:pPr>
      <w:pBdr/>
      <w:spacing/>
      <w:ind/>
    </w:pPr>
    <w:rPr>
      <w:rFonts w:ascii="Arial" w:hAnsi="Arial" w:eastAsia="Arial" w:cs="Arial"/>
      <w:i/>
      <w:iCs/>
      <w:color w:val="0f4761" w:themeColor="accent1" w:themeShade="BF"/>
    </w:rPr>
  </w:style>
  <w:style w:type="character" w:styleId="841">
    <w:name w:val="Heading 5 Char"/>
    <w:basedOn w:val="835"/>
    <w:link w:val="830"/>
    <w:uiPriority w:val="9"/>
    <w:pPr>
      <w:pBdr/>
      <w:spacing/>
      <w:ind/>
    </w:pPr>
    <w:rPr>
      <w:rFonts w:ascii="Arial" w:hAnsi="Arial" w:eastAsia="Arial" w:cs="Arial"/>
      <w:color w:val="0f4761" w:themeColor="accent1" w:themeShade="BF"/>
    </w:rPr>
  </w:style>
  <w:style w:type="character" w:styleId="842">
    <w:name w:val="Heading 6 Char"/>
    <w:basedOn w:val="835"/>
    <w:link w:val="831"/>
    <w:uiPriority w:val="9"/>
    <w:pPr>
      <w:pBdr/>
      <w:spacing/>
      <w:ind/>
    </w:pPr>
    <w:rPr>
      <w:rFonts w:ascii="Arial" w:hAnsi="Arial" w:eastAsia="Arial" w:cs="Arial"/>
      <w:i/>
      <w:iCs/>
      <w:color w:val="595959" w:themeColor="text1" w:themeTint="A6"/>
    </w:rPr>
  </w:style>
  <w:style w:type="character" w:styleId="843">
    <w:name w:val="Heading 7 Char"/>
    <w:basedOn w:val="835"/>
    <w:link w:val="832"/>
    <w:uiPriority w:val="9"/>
    <w:pPr>
      <w:pBdr/>
      <w:spacing/>
      <w:ind/>
    </w:pPr>
    <w:rPr>
      <w:rFonts w:ascii="Arial" w:hAnsi="Arial" w:eastAsia="Arial" w:cs="Arial"/>
      <w:color w:val="595959" w:themeColor="text1" w:themeTint="A6"/>
    </w:rPr>
  </w:style>
  <w:style w:type="character" w:styleId="844">
    <w:name w:val="Heading 8 Char"/>
    <w:basedOn w:val="835"/>
    <w:link w:val="833"/>
    <w:uiPriority w:val="9"/>
    <w:pPr>
      <w:pBdr/>
      <w:spacing/>
      <w:ind/>
    </w:pPr>
    <w:rPr>
      <w:rFonts w:ascii="Arial" w:hAnsi="Arial" w:eastAsia="Arial" w:cs="Arial"/>
      <w:i/>
      <w:iCs/>
      <w:color w:val="272727" w:themeColor="text1" w:themeTint="D8"/>
    </w:rPr>
  </w:style>
  <w:style w:type="character" w:styleId="845">
    <w:name w:val="Heading 9 Char"/>
    <w:basedOn w:val="835"/>
    <w:link w:val="834"/>
    <w:uiPriority w:val="9"/>
    <w:pPr>
      <w:pBdr/>
      <w:spacing/>
      <w:ind/>
    </w:pPr>
    <w:rPr>
      <w:rFonts w:ascii="Arial" w:hAnsi="Arial" w:eastAsia="Arial" w:cs="Arial"/>
      <w:i/>
      <w:iCs/>
      <w:color w:val="272727" w:themeColor="text1" w:themeTint="D8"/>
    </w:rPr>
  </w:style>
  <w:style w:type="paragraph" w:styleId="846">
    <w:name w:val="Title"/>
    <w:basedOn w:val="884"/>
    <w:next w:val="884"/>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5"/>
    <w:link w:val="846"/>
    <w:uiPriority w:val="10"/>
    <w:pPr>
      <w:pBdr/>
      <w:spacing/>
      <w:ind/>
    </w:pPr>
    <w:rPr>
      <w:rFonts w:ascii="Arial" w:hAnsi="Arial" w:eastAsia="Arial" w:cs="Arial"/>
      <w:spacing w:val="-10"/>
      <w:sz w:val="56"/>
      <w:szCs w:val="56"/>
    </w:rPr>
  </w:style>
  <w:style w:type="paragraph" w:styleId="848">
    <w:name w:val="Subtitle"/>
    <w:basedOn w:val="884"/>
    <w:next w:val="884"/>
    <w:link w:val="849"/>
    <w:uiPriority w:val="11"/>
    <w:qFormat/>
    <w:pPr>
      <w:numPr>
        <w:ilvl w:val="1"/>
      </w:numPr>
      <w:pBdr/>
      <w:spacing/>
      <w:ind/>
    </w:pPr>
    <w:rPr>
      <w:color w:val="595959" w:themeColor="text1" w:themeTint="A6"/>
      <w:spacing w:val="15"/>
      <w:sz w:val="28"/>
      <w:szCs w:val="28"/>
    </w:rPr>
  </w:style>
  <w:style w:type="character" w:styleId="849">
    <w:name w:val="Subtitle Char"/>
    <w:basedOn w:val="835"/>
    <w:link w:val="848"/>
    <w:uiPriority w:val="11"/>
    <w:pPr>
      <w:pBdr/>
      <w:spacing/>
      <w:ind/>
    </w:pPr>
    <w:rPr>
      <w:color w:val="595959" w:themeColor="text1" w:themeTint="A6"/>
      <w:spacing w:val="15"/>
      <w:sz w:val="28"/>
      <w:szCs w:val="28"/>
    </w:rPr>
  </w:style>
  <w:style w:type="paragraph" w:styleId="850">
    <w:name w:val="Quote"/>
    <w:basedOn w:val="884"/>
    <w:next w:val="884"/>
    <w:link w:val="851"/>
    <w:uiPriority w:val="29"/>
    <w:qFormat/>
    <w:pPr>
      <w:pBdr/>
      <w:spacing w:before="160"/>
      <w:ind/>
      <w:jc w:val="center"/>
    </w:pPr>
    <w:rPr>
      <w:i/>
      <w:iCs/>
      <w:color w:val="404040" w:themeColor="text1" w:themeTint="BF"/>
    </w:rPr>
  </w:style>
  <w:style w:type="character" w:styleId="851">
    <w:name w:val="Quote Char"/>
    <w:basedOn w:val="835"/>
    <w:link w:val="850"/>
    <w:uiPriority w:val="29"/>
    <w:pPr>
      <w:pBdr/>
      <w:spacing/>
      <w:ind/>
    </w:pPr>
    <w:rPr>
      <w:i/>
      <w:iCs/>
      <w:color w:val="404040" w:themeColor="text1" w:themeTint="BF"/>
    </w:rPr>
  </w:style>
  <w:style w:type="character" w:styleId="852">
    <w:name w:val="Intense Emphasis"/>
    <w:basedOn w:val="835"/>
    <w:uiPriority w:val="21"/>
    <w:qFormat/>
    <w:pPr>
      <w:pBdr/>
      <w:spacing/>
      <w:ind/>
    </w:pPr>
    <w:rPr>
      <w:i/>
      <w:iCs/>
      <w:color w:val="0f4761" w:themeColor="accent1" w:themeShade="BF"/>
    </w:rPr>
  </w:style>
  <w:style w:type="paragraph" w:styleId="853">
    <w:name w:val="Intense Quote"/>
    <w:basedOn w:val="884"/>
    <w:next w:val="884"/>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5"/>
    <w:link w:val="853"/>
    <w:uiPriority w:val="30"/>
    <w:pPr>
      <w:pBdr/>
      <w:spacing/>
      <w:ind/>
    </w:pPr>
    <w:rPr>
      <w:i/>
      <w:iCs/>
      <w:color w:val="0f4761" w:themeColor="accent1" w:themeShade="BF"/>
    </w:rPr>
  </w:style>
  <w:style w:type="character" w:styleId="855">
    <w:name w:val="Intense Reference"/>
    <w:basedOn w:val="835"/>
    <w:uiPriority w:val="32"/>
    <w:qFormat/>
    <w:pPr>
      <w:pBdr/>
      <w:spacing/>
      <w:ind/>
    </w:pPr>
    <w:rPr>
      <w:b/>
      <w:bCs/>
      <w:smallCaps/>
      <w:color w:val="0f4761" w:themeColor="accent1" w:themeShade="BF"/>
      <w:spacing w:val="5"/>
    </w:rPr>
  </w:style>
  <w:style w:type="paragraph" w:styleId="856">
    <w:name w:val="No Spacing"/>
    <w:basedOn w:val="884"/>
    <w:uiPriority w:val="1"/>
    <w:qFormat/>
    <w:pPr>
      <w:pBdr/>
      <w:spacing w:after="0" w:line="240" w:lineRule="auto"/>
      <w:ind/>
    </w:pPr>
  </w:style>
  <w:style w:type="character" w:styleId="857">
    <w:name w:val="Subtle Emphasis"/>
    <w:basedOn w:val="835"/>
    <w:uiPriority w:val="19"/>
    <w:qFormat/>
    <w:pPr>
      <w:pBdr/>
      <w:spacing/>
      <w:ind/>
    </w:pPr>
    <w:rPr>
      <w:i/>
      <w:iCs/>
      <w:color w:val="404040" w:themeColor="text1" w:themeTint="BF"/>
    </w:rPr>
  </w:style>
  <w:style w:type="character" w:styleId="858">
    <w:name w:val="Emphasis"/>
    <w:basedOn w:val="835"/>
    <w:uiPriority w:val="20"/>
    <w:qFormat/>
    <w:pPr>
      <w:pBdr/>
      <w:spacing/>
      <w:ind/>
    </w:pPr>
    <w:rPr>
      <w:i/>
      <w:iCs/>
    </w:rPr>
  </w:style>
  <w:style w:type="character" w:styleId="859">
    <w:name w:val="Strong"/>
    <w:basedOn w:val="835"/>
    <w:uiPriority w:val="22"/>
    <w:qFormat/>
    <w:pPr>
      <w:pBdr/>
      <w:spacing/>
      <w:ind/>
    </w:pPr>
    <w:rPr>
      <w:b/>
      <w:bCs/>
    </w:rPr>
  </w:style>
  <w:style w:type="character" w:styleId="860">
    <w:name w:val="Subtle Reference"/>
    <w:basedOn w:val="835"/>
    <w:uiPriority w:val="31"/>
    <w:qFormat/>
    <w:pPr>
      <w:pBdr/>
      <w:spacing/>
      <w:ind/>
    </w:pPr>
    <w:rPr>
      <w:smallCaps/>
      <w:color w:val="5a5a5a" w:themeColor="text1" w:themeTint="A5"/>
    </w:rPr>
  </w:style>
  <w:style w:type="character" w:styleId="861">
    <w:name w:val="Book Title"/>
    <w:basedOn w:val="835"/>
    <w:uiPriority w:val="33"/>
    <w:qFormat/>
    <w:pPr>
      <w:pBdr/>
      <w:spacing/>
      <w:ind/>
    </w:pPr>
    <w:rPr>
      <w:b/>
      <w:bCs/>
      <w:i/>
      <w:iCs/>
      <w:spacing w:val="5"/>
    </w:rPr>
  </w:style>
  <w:style w:type="paragraph" w:styleId="862">
    <w:name w:val="Header"/>
    <w:basedOn w:val="884"/>
    <w:link w:val="863"/>
    <w:uiPriority w:val="99"/>
    <w:unhideWhenUsed/>
    <w:pPr>
      <w:pBdr/>
      <w:tabs>
        <w:tab w:val="center" w:leader="none" w:pos="4844"/>
        <w:tab w:val="right" w:leader="none" w:pos="9689"/>
      </w:tabs>
      <w:spacing w:after="0" w:line="240" w:lineRule="auto"/>
      <w:ind/>
    </w:pPr>
  </w:style>
  <w:style w:type="character" w:styleId="863">
    <w:name w:val="Header Char"/>
    <w:basedOn w:val="835"/>
    <w:link w:val="862"/>
    <w:uiPriority w:val="99"/>
    <w:pPr>
      <w:pBdr/>
      <w:spacing/>
      <w:ind/>
    </w:pPr>
  </w:style>
  <w:style w:type="paragraph" w:styleId="864">
    <w:name w:val="Footer"/>
    <w:basedOn w:val="884"/>
    <w:link w:val="865"/>
    <w:uiPriority w:val="99"/>
    <w:unhideWhenUsed/>
    <w:pPr>
      <w:pBdr/>
      <w:tabs>
        <w:tab w:val="center" w:leader="none" w:pos="4844"/>
        <w:tab w:val="right" w:leader="none" w:pos="9689"/>
      </w:tabs>
      <w:spacing w:after="0" w:line="240" w:lineRule="auto"/>
      <w:ind/>
    </w:pPr>
  </w:style>
  <w:style w:type="character" w:styleId="865">
    <w:name w:val="Footer Char"/>
    <w:basedOn w:val="835"/>
    <w:link w:val="864"/>
    <w:uiPriority w:val="99"/>
    <w:pPr>
      <w:pBdr/>
      <w:spacing/>
      <w:ind/>
    </w:pPr>
  </w:style>
  <w:style w:type="paragraph" w:styleId="866">
    <w:name w:val="Caption"/>
    <w:basedOn w:val="884"/>
    <w:next w:val="884"/>
    <w:uiPriority w:val="35"/>
    <w:unhideWhenUsed/>
    <w:qFormat/>
    <w:pPr>
      <w:pBdr/>
      <w:spacing w:after="200" w:line="240" w:lineRule="auto"/>
      <w:ind/>
    </w:pPr>
    <w:rPr>
      <w:i/>
      <w:iCs/>
      <w:color w:val="0e2841" w:themeColor="text2"/>
      <w:sz w:val="18"/>
      <w:szCs w:val="18"/>
    </w:rPr>
  </w:style>
  <w:style w:type="character" w:styleId="867">
    <w:name w:val="Footnote Text Char"/>
    <w:basedOn w:val="835"/>
    <w:link w:val="887"/>
    <w:uiPriority w:val="99"/>
    <w:semiHidden/>
    <w:pPr>
      <w:pBdr/>
      <w:spacing/>
      <w:ind/>
    </w:pPr>
    <w:rPr>
      <w:sz w:val="20"/>
      <w:szCs w:val="20"/>
    </w:rPr>
  </w:style>
  <w:style w:type="paragraph" w:styleId="868">
    <w:name w:val="endnote text"/>
    <w:basedOn w:val="884"/>
    <w:link w:val="869"/>
    <w:uiPriority w:val="99"/>
    <w:semiHidden/>
    <w:unhideWhenUsed/>
    <w:pPr>
      <w:pBdr/>
      <w:spacing w:after="0" w:line="240" w:lineRule="auto"/>
      <w:ind/>
    </w:pPr>
    <w:rPr>
      <w:sz w:val="20"/>
      <w:szCs w:val="20"/>
    </w:rPr>
  </w:style>
  <w:style w:type="character" w:styleId="869">
    <w:name w:val="Endnote Text Char"/>
    <w:basedOn w:val="835"/>
    <w:link w:val="868"/>
    <w:uiPriority w:val="99"/>
    <w:semiHidden/>
    <w:pPr>
      <w:pBdr/>
      <w:spacing/>
      <w:ind/>
    </w:pPr>
    <w:rPr>
      <w:sz w:val="20"/>
      <w:szCs w:val="20"/>
    </w:rPr>
  </w:style>
  <w:style w:type="character" w:styleId="870">
    <w:name w:val="endnote reference"/>
    <w:basedOn w:val="835"/>
    <w:uiPriority w:val="99"/>
    <w:semiHidden/>
    <w:unhideWhenUsed/>
    <w:pPr>
      <w:pBdr/>
      <w:spacing/>
      <w:ind/>
    </w:pPr>
    <w:rPr>
      <w:vertAlign w:val="superscript"/>
    </w:rPr>
  </w:style>
  <w:style w:type="character" w:styleId="871">
    <w:name w:val="FollowedHyperlink"/>
    <w:basedOn w:val="835"/>
    <w:uiPriority w:val="99"/>
    <w:semiHidden/>
    <w:unhideWhenUsed/>
    <w:pPr>
      <w:pBdr/>
      <w:spacing/>
      <w:ind/>
    </w:pPr>
    <w:rPr>
      <w:color w:val="954f72" w:themeColor="followedHyperlink"/>
      <w:u w:val="single"/>
    </w:rPr>
  </w:style>
  <w:style w:type="paragraph" w:styleId="872">
    <w:name w:val="toc 1"/>
    <w:basedOn w:val="884"/>
    <w:next w:val="884"/>
    <w:uiPriority w:val="39"/>
    <w:unhideWhenUsed/>
    <w:pPr>
      <w:pBdr/>
      <w:spacing w:after="100"/>
      <w:ind/>
    </w:pPr>
  </w:style>
  <w:style w:type="paragraph" w:styleId="873">
    <w:name w:val="toc 2"/>
    <w:basedOn w:val="884"/>
    <w:next w:val="884"/>
    <w:uiPriority w:val="39"/>
    <w:unhideWhenUsed/>
    <w:pPr>
      <w:pBdr/>
      <w:spacing w:after="100"/>
      <w:ind w:left="220"/>
    </w:pPr>
  </w:style>
  <w:style w:type="paragraph" w:styleId="874">
    <w:name w:val="toc 3"/>
    <w:basedOn w:val="884"/>
    <w:next w:val="884"/>
    <w:uiPriority w:val="39"/>
    <w:unhideWhenUsed/>
    <w:pPr>
      <w:pBdr/>
      <w:spacing w:after="100"/>
      <w:ind w:left="440"/>
    </w:pPr>
  </w:style>
  <w:style w:type="paragraph" w:styleId="875">
    <w:name w:val="toc 4"/>
    <w:basedOn w:val="884"/>
    <w:next w:val="884"/>
    <w:uiPriority w:val="39"/>
    <w:unhideWhenUsed/>
    <w:pPr>
      <w:pBdr/>
      <w:spacing w:after="100"/>
      <w:ind w:left="660"/>
    </w:pPr>
  </w:style>
  <w:style w:type="paragraph" w:styleId="876">
    <w:name w:val="toc 5"/>
    <w:basedOn w:val="884"/>
    <w:next w:val="884"/>
    <w:uiPriority w:val="39"/>
    <w:unhideWhenUsed/>
    <w:pPr>
      <w:pBdr/>
      <w:spacing w:after="100"/>
      <w:ind w:left="880"/>
    </w:pPr>
  </w:style>
  <w:style w:type="paragraph" w:styleId="877">
    <w:name w:val="toc 6"/>
    <w:basedOn w:val="884"/>
    <w:next w:val="884"/>
    <w:uiPriority w:val="39"/>
    <w:unhideWhenUsed/>
    <w:pPr>
      <w:pBdr/>
      <w:spacing w:after="100"/>
      <w:ind w:left="1100"/>
    </w:pPr>
  </w:style>
  <w:style w:type="paragraph" w:styleId="878">
    <w:name w:val="toc 7"/>
    <w:basedOn w:val="884"/>
    <w:next w:val="884"/>
    <w:uiPriority w:val="39"/>
    <w:unhideWhenUsed/>
    <w:pPr>
      <w:pBdr/>
      <w:spacing w:after="100"/>
      <w:ind w:left="1320"/>
    </w:pPr>
  </w:style>
  <w:style w:type="paragraph" w:styleId="879">
    <w:name w:val="toc 8"/>
    <w:basedOn w:val="884"/>
    <w:next w:val="884"/>
    <w:uiPriority w:val="39"/>
    <w:unhideWhenUsed/>
    <w:pPr>
      <w:pBdr/>
      <w:spacing w:after="100"/>
      <w:ind w:left="1540"/>
    </w:pPr>
  </w:style>
  <w:style w:type="paragraph" w:styleId="880">
    <w:name w:val="toc 9"/>
    <w:basedOn w:val="884"/>
    <w:next w:val="884"/>
    <w:uiPriority w:val="39"/>
    <w:unhideWhenUsed/>
    <w:pPr>
      <w:pBdr/>
      <w:spacing w:after="100"/>
      <w:ind w:left="1760"/>
    </w:pPr>
  </w:style>
  <w:style w:type="character" w:styleId="881">
    <w:name w:val="Placeholder Text"/>
    <w:basedOn w:val="835"/>
    <w:uiPriority w:val="99"/>
    <w:semiHidden/>
    <w:pPr>
      <w:pBdr/>
      <w:spacing/>
      <w:ind/>
    </w:pPr>
    <w:rPr>
      <w:color w:val="666666"/>
    </w:rPr>
  </w:style>
  <w:style w:type="paragraph" w:styleId="882">
    <w:name w:val="TOC Heading"/>
    <w:uiPriority w:val="39"/>
    <w:unhideWhenUsed/>
    <w:pPr>
      <w:pBdr/>
      <w:spacing/>
      <w:ind/>
    </w:pPr>
  </w:style>
  <w:style w:type="paragraph" w:styleId="883">
    <w:name w:val="table of figures"/>
    <w:basedOn w:val="884"/>
    <w:next w:val="884"/>
    <w:uiPriority w:val="99"/>
    <w:unhideWhenUsed/>
    <w:pPr>
      <w:pBdr/>
      <w:spacing w:after="0" w:afterAutospacing="0"/>
      <w:ind/>
    </w:pPr>
  </w:style>
  <w:style w:type="paragraph" w:styleId="884" w:default="1">
    <w:name w:val="Normal"/>
    <w:qFormat/>
    <w:pPr>
      <w:pBdr/>
      <w:spacing/>
      <w:ind/>
    </w:pPr>
    <w:rPr>
      <w:rFonts w:eastAsiaTheme="minorEastAsia"/>
      <w:sz w:val="24"/>
      <w:szCs w:val="24"/>
    </w:rPr>
  </w:style>
  <w:style w:type="character" w:styleId="885">
    <w:name w:val="Hyperlink"/>
    <w:uiPriority w:val="99"/>
    <w:unhideWhenUsed/>
    <w:pPr>
      <w:pBdr/>
      <w:spacing/>
      <w:ind/>
    </w:pPr>
    <w:rPr>
      <w:color w:val="0000ff" w:themeColor="hyperlink"/>
      <w:u w:val="single"/>
    </w:rPr>
  </w:style>
  <w:style w:type="character" w:styleId="886">
    <w:name w:val="footnote reference"/>
    <w:uiPriority w:val="99"/>
    <w:unhideWhenUsed/>
    <w:pPr>
      <w:pBdr/>
      <w:spacing/>
      <w:ind/>
    </w:pPr>
    <w:rPr>
      <w:vertAlign w:val="superscript"/>
    </w:rPr>
  </w:style>
  <w:style w:type="paragraph" w:styleId="887">
    <w:name w:val="footnote text"/>
    <w:basedOn w:val="884"/>
    <w:link w:val="888"/>
    <w:uiPriority w:val="99"/>
    <w:semiHidden/>
    <w:unhideWhenUsed/>
    <w:pPr>
      <w:pBdr/>
      <w:spacing w:after="40" w:line="240" w:lineRule="auto"/>
      <w:ind/>
    </w:pPr>
    <w:rPr>
      <w:sz w:val="18"/>
    </w:rPr>
  </w:style>
  <w:style w:type="character" w:styleId="888" w:customStyle="1">
    <w:name w:val="footnote text character"/>
    <w:link w:val="887"/>
    <w:uiPriority w:val="99"/>
    <w:pPr>
      <w:pBdr/>
      <w:spacing/>
      <w:ind/>
    </w:pPr>
    <w:rPr>
      <w:sz w:val="18"/>
    </w:rPr>
  </w:style>
  <w:style w:type="paragraph" w:styleId="889">
    <w:name w:val="Normal (Web)"/>
    <w:basedOn w:val="884"/>
    <w:uiPriority w:val="99"/>
    <w:semiHidden/>
    <w:unhideWhenUsed/>
    <w:pPr>
      <w:pBdr/>
      <w:spacing w:after="100" w:afterAutospacing="1" w:before="100" w:beforeAutospacing="1"/>
      <w:ind/>
    </w:pPr>
  </w:style>
  <w:style w:type="paragraph" w:styleId="890" w:customStyle="1">
    <w:name w:val="img-1"/>
    <w:qFormat/>
    <w:pPr>
      <w:pBdr/>
      <w:spacing/>
      <w:ind w:right="480"/>
    </w:pPr>
  </w:style>
  <w:style w:type="paragraph" w:styleId="891">
    <w:name w:val="Heading 1"/>
    <w:basedOn w:val="884"/>
    <w:link w:val="894"/>
    <w:pPr>
      <w:pBdr/>
      <w:spacing/>
      <w:ind/>
      <w:outlineLvl w:val="0"/>
    </w:pPr>
  </w:style>
  <w:style w:type="paragraph" w:styleId="892">
    <w:name w:val="h1"/>
    <w:basedOn w:val="884"/>
    <w:link w:val="894"/>
    <w:qFormat/>
    <w:pPr>
      <w:pBdr/>
      <w:spacing/>
      <w:ind/>
      <w:outlineLvl w:val="0"/>
    </w:pPr>
  </w:style>
  <w:style w:type="paragraph" w:styleId="893" w:customStyle="1">
    <w:name w:val="+h1-2"/>
    <w:basedOn w:val="892"/>
    <w:qFormat/>
    <w:pPr>
      <w:pBdr/>
      <w:spacing w:after="80" w:afterAutospacing="0" w:before="360" w:beforeAutospacing="0"/>
      <w:ind/>
    </w:pPr>
  </w:style>
  <w:style w:type="character" w:styleId="894" w:customStyle="1">
    <w:name w:val="Title 1 Sign"/>
    <w:link w:val="891"/>
    <w:uiPriority w:val="9"/>
    <w:pPr>
      <w:pBdr/>
      <w:spacing/>
      <w:ind/>
    </w:pPr>
    <w:rPr>
      <w:b/>
      <w:bCs/>
      <w:sz w:val="48"/>
      <w:szCs w:val="48"/>
    </w:rPr>
  </w:style>
  <w:style w:type="character" w:styleId="895" w:customStyle="1">
    <w:name w:val="h1-c"/>
    <w:basedOn w:val="884"/>
    <w:link w:val="891"/>
    <w:uiPriority w:val="9"/>
    <w:pPr>
      <w:pBdr/>
      <w:spacing/>
      <w:ind/>
    </w:pPr>
    <w:rPr>
      <w:b/>
      <w:bCs/>
      <w:sz w:val="48"/>
      <w:szCs w:val="48"/>
    </w:rPr>
  </w:style>
  <w:style w:type="character" w:styleId="896" w:customStyle="1">
    <w:name w:val="+h1-2-c"/>
    <w:basedOn w:val="895"/>
    <w:pPr>
      <w:pBdr/>
      <w:spacing/>
      <w:ind/>
    </w:pPr>
    <w:rPr>
      <w:rFonts w:ascii="Arial" w:hAnsi="Arial" w:eastAsia="Arial" w:cs="Arial"/>
      <w:color w:val="0f4761"/>
      <w:sz w:val="40"/>
      <w:szCs w:val="40"/>
    </w:rPr>
  </w:style>
  <w:style w:type="paragraph" w:styleId="897">
    <w:name w:val="Heading 2"/>
    <w:basedOn w:val="884"/>
    <w:link w:val="900"/>
    <w:pPr>
      <w:pBdr/>
      <w:spacing/>
      <w:ind/>
      <w:outlineLvl w:val="1"/>
    </w:pPr>
  </w:style>
  <w:style w:type="paragraph" w:styleId="898">
    <w:name w:val="h2"/>
    <w:basedOn w:val="884"/>
    <w:link w:val="900"/>
    <w:qFormat/>
    <w:pPr>
      <w:pBdr/>
      <w:spacing/>
      <w:ind/>
      <w:outlineLvl w:val="1"/>
    </w:pPr>
  </w:style>
  <w:style w:type="paragraph" w:styleId="899" w:customStyle="1">
    <w:name w:val="+h2-3"/>
    <w:basedOn w:val="898"/>
    <w:qFormat/>
    <w:pPr>
      <w:pBdr/>
      <w:spacing w:after="80" w:afterAutospacing="0" w:before="160" w:beforeAutospacing="0"/>
      <w:ind/>
    </w:pPr>
  </w:style>
  <w:style w:type="character" w:styleId="900" w:customStyle="1">
    <w:name w:val="Title 2 Sign"/>
    <w:link w:val="897"/>
    <w:uiPriority w:val="9"/>
    <w:unhideWhenUsed/>
    <w:pPr>
      <w:pBdr/>
      <w:spacing/>
      <w:ind/>
    </w:pPr>
    <w:rPr>
      <w:b/>
      <w:bCs/>
      <w:sz w:val="36"/>
      <w:szCs w:val="36"/>
    </w:rPr>
  </w:style>
  <w:style w:type="character" w:styleId="901" w:customStyle="1">
    <w:name w:val="h2-c"/>
    <w:basedOn w:val="884"/>
    <w:link w:val="897"/>
    <w:uiPriority w:val="9"/>
    <w:unhideWhenUsed/>
    <w:pPr>
      <w:pBdr/>
      <w:spacing/>
      <w:ind/>
    </w:pPr>
    <w:rPr>
      <w:b/>
      <w:bCs/>
      <w:sz w:val="36"/>
      <w:szCs w:val="36"/>
    </w:rPr>
  </w:style>
  <w:style w:type="character" w:styleId="902" w:customStyle="1">
    <w:name w:val="+h2-3-c"/>
    <w:basedOn w:val="901"/>
    <w:pPr>
      <w:pBdr/>
      <w:spacing/>
      <w:ind/>
    </w:pPr>
    <w:rPr>
      <w:rFonts w:ascii="Arial" w:hAnsi="Arial" w:eastAsia="Arial" w:cs="Arial"/>
      <w:color w:val="0f4761"/>
      <w:sz w:val="32"/>
      <w:szCs w:val="32"/>
    </w:rPr>
  </w:style>
  <w:style w:type="paragraph" w:styleId="903" w:customStyle="1">
    <w:name w:val="+p-4"/>
    <w:qFormat/>
    <w:pPr>
      <w:pBdr/>
      <w:spacing w:after="150" w:afterAutospacing="0"/>
      <w:ind/>
    </w:pPr>
  </w:style>
  <w:style w:type="character" w:styleId="904" w:customStyle="1">
    <w:name w:val="+p-4-c"/>
    <w:pPr>
      <w:pBdr/>
      <w:spacing/>
      <w:ind/>
    </w:pPr>
    <w:rPr>
      <w:rFonts w:ascii="Arial" w:hAnsi="Arial" w:eastAsia="Arial" w:cs="Arial"/>
      <w:color w:val="000000"/>
    </w:rPr>
  </w:style>
  <w:style w:type="character" w:styleId="905">
    <w:name w:val="Hyperlink character"/>
    <w:uiPriority w:val="99"/>
    <w:unhideWhenUsed/>
    <w:pPr>
      <w:pBdr/>
      <w:spacing/>
      <w:ind/>
    </w:pPr>
    <w:rPr>
      <w:color w:val="0000ff"/>
      <w:sz w:val="24"/>
      <w:szCs w:val="24"/>
      <w:u w:val="single"/>
    </w:rPr>
  </w:style>
  <w:style w:type="character" w:styleId="906">
    <w:name w:val="p-c+a-c"/>
    <w:basedOn w:val="884"/>
    <w:uiPriority w:val="99"/>
    <w:unhideWhenUsed/>
    <w:pPr>
      <w:pBdr/>
      <w:spacing/>
      <w:ind/>
    </w:pPr>
    <w:rPr>
      <w:color w:val="0000ff"/>
      <w:sz w:val="24"/>
      <w:szCs w:val="24"/>
      <w:u w:val="single"/>
    </w:rPr>
  </w:style>
  <w:style w:type="character" w:styleId="907" w:customStyle="1">
    <w:name w:val="+a-5-c"/>
    <w:basedOn w:val="906"/>
    <w:pPr>
      <w:pBdr/>
      <w:spacing/>
      <w:ind/>
    </w:pPr>
    <w:rPr>
      <w:rFonts w:ascii="Arial" w:hAnsi="Arial" w:eastAsia="Arial" w:cs="Arial"/>
      <w:color w:val="0553c1"/>
      <w:u w:val="single"/>
    </w:rPr>
  </w:style>
  <w:style w:type="paragraph" w:styleId="908" w:customStyle="1">
    <w:name w:val="img-7"/>
    <w:qFormat/>
    <w:pPr>
      <w:pBdr/>
      <w:spacing w:after="150" w:afterAutospacing="0"/>
      <w:ind/>
    </w:pPr>
  </w:style>
  <w:style w:type="paragraph" w:styleId="909">
    <w:name w:val="Heading 3"/>
    <w:basedOn w:val="884"/>
    <w:link w:val="912"/>
    <w:pPr>
      <w:pBdr/>
      <w:spacing/>
      <w:ind/>
      <w:outlineLvl w:val="2"/>
    </w:pPr>
  </w:style>
  <w:style w:type="paragraph" w:styleId="910">
    <w:name w:val="h3"/>
    <w:basedOn w:val="884"/>
    <w:link w:val="912"/>
    <w:qFormat/>
    <w:pPr>
      <w:pBdr/>
      <w:spacing/>
      <w:ind/>
      <w:outlineLvl w:val="2"/>
    </w:pPr>
  </w:style>
  <w:style w:type="paragraph" w:styleId="911" w:customStyle="1">
    <w:name w:val="+h3-8"/>
    <w:basedOn w:val="910"/>
    <w:qFormat/>
    <w:pPr>
      <w:pBdr/>
      <w:spacing w:after="80" w:afterAutospacing="0" w:before="160" w:beforeAutospacing="0"/>
      <w:ind/>
    </w:pPr>
  </w:style>
  <w:style w:type="character" w:styleId="912" w:customStyle="1">
    <w:name w:val="Title 3 Sign"/>
    <w:link w:val="909"/>
    <w:uiPriority w:val="9"/>
    <w:unhideWhenUsed/>
    <w:pPr>
      <w:pBdr/>
      <w:spacing/>
      <w:ind/>
    </w:pPr>
    <w:rPr>
      <w:b/>
      <w:bCs/>
      <w:sz w:val="27"/>
      <w:szCs w:val="27"/>
    </w:rPr>
  </w:style>
  <w:style w:type="character" w:styleId="913" w:customStyle="1">
    <w:name w:val="h3-c"/>
    <w:basedOn w:val="884"/>
    <w:link w:val="909"/>
    <w:uiPriority w:val="9"/>
    <w:unhideWhenUsed/>
    <w:pPr>
      <w:pBdr/>
      <w:spacing/>
      <w:ind/>
    </w:pPr>
    <w:rPr>
      <w:b/>
      <w:bCs/>
      <w:sz w:val="27"/>
      <w:szCs w:val="27"/>
    </w:rPr>
  </w:style>
  <w:style w:type="character" w:styleId="914" w:customStyle="1">
    <w:name w:val="+h3-8-c"/>
    <w:basedOn w:val="913"/>
    <w:pPr>
      <w:pBdr/>
      <w:spacing/>
      <w:ind/>
    </w:pPr>
    <w:rPr>
      <w:rFonts w:ascii="Arial" w:hAnsi="Arial" w:eastAsia="Arial" w:cs="Arial"/>
      <w:color w:val="0f4761"/>
      <w:sz w:val="28"/>
      <w:szCs w:val="28"/>
    </w:rPr>
  </w:style>
  <w:style w:type="paragraph" w:styleId="915">
    <w:name w:val="Heading 4"/>
    <w:basedOn w:val="884"/>
    <w:link w:val="918"/>
    <w:pPr>
      <w:pBdr/>
      <w:spacing/>
      <w:ind/>
      <w:outlineLvl w:val="3"/>
    </w:pPr>
  </w:style>
  <w:style w:type="paragraph" w:styleId="916">
    <w:name w:val="h4"/>
    <w:basedOn w:val="884"/>
    <w:link w:val="918"/>
    <w:qFormat/>
    <w:pPr>
      <w:pBdr/>
      <w:spacing/>
      <w:ind/>
      <w:outlineLvl w:val="3"/>
    </w:pPr>
  </w:style>
  <w:style w:type="paragraph" w:styleId="917" w:customStyle="1">
    <w:name w:val="+h4-14"/>
    <w:basedOn w:val="916"/>
    <w:qFormat/>
    <w:pPr>
      <w:pBdr/>
      <w:spacing w:after="40" w:afterAutospacing="0" w:before="80" w:beforeAutospacing="0"/>
      <w:ind/>
    </w:pPr>
  </w:style>
  <w:style w:type="character" w:styleId="918" w:customStyle="1">
    <w:name w:val="Title 4 Sign"/>
    <w:link w:val="915"/>
    <w:uiPriority w:val="9"/>
    <w:unhideWhenUsed/>
    <w:pPr>
      <w:pBdr/>
      <w:spacing/>
      <w:ind/>
    </w:pPr>
    <w:rPr>
      <w:b/>
      <w:bCs/>
      <w:sz w:val="24"/>
      <w:szCs w:val="24"/>
    </w:rPr>
  </w:style>
  <w:style w:type="character" w:styleId="919" w:customStyle="1">
    <w:name w:val="h4-c"/>
    <w:basedOn w:val="884"/>
    <w:link w:val="915"/>
    <w:uiPriority w:val="9"/>
    <w:unhideWhenUsed/>
    <w:pPr>
      <w:pBdr/>
      <w:spacing/>
      <w:ind/>
    </w:pPr>
    <w:rPr>
      <w:b/>
      <w:bCs/>
      <w:sz w:val="24"/>
      <w:szCs w:val="24"/>
    </w:rPr>
  </w:style>
  <w:style w:type="character" w:styleId="920" w:customStyle="1">
    <w:name w:val="+h4-14-c"/>
    <w:basedOn w:val="919"/>
    <w:pPr>
      <w:pBdr/>
      <w:spacing/>
      <w:ind/>
    </w:pPr>
    <w:rPr>
      <w:rFonts w:ascii="Arial" w:hAnsi="Arial" w:eastAsia="Arial" w:cs="Arial"/>
      <w:i/>
      <w:iCs/>
      <w:color w:val="0f4761"/>
    </w:rPr>
  </w:style>
  <w:style w:type="paragraph" w:styleId="921" w:customStyle="1">
    <w:name w:val="+th-21"/>
    <w:qFormat/>
    <w:pPr>
      <w:pBdr/>
      <w:spacing w:after="0" w:afterAutospacing="0" w:before="0" w:beforeAutospacing="0" w:line="240" w:lineRule="auto"/>
      <w:ind/>
      <w:jc w:val="left"/>
    </w:pPr>
  </w:style>
  <w:style w:type="character" w:styleId="922" w:customStyle="1">
    <w:name w:val="+th-21-c"/>
    <w:pPr>
      <w:pBdr/>
      <w:spacing/>
      <w:ind/>
    </w:pPr>
    <w:rPr>
      <w:rFonts w:ascii="Arial" w:hAnsi="Arial" w:eastAsia="Arial" w:cs="Arial"/>
      <w:b/>
      <w:bCs/>
      <w:color w:val="000000"/>
    </w:rPr>
  </w:style>
  <w:style w:type="paragraph" w:styleId="923" w:customStyle="1">
    <w:name w:val="+td-23"/>
    <w:qFormat/>
    <w:pPr>
      <w:pBdr/>
      <w:spacing w:after="0" w:afterAutospacing="0" w:before="0" w:beforeAutospacing="0" w:line="240" w:lineRule="auto"/>
      <w:ind/>
      <w:jc w:val="left"/>
    </w:pPr>
  </w:style>
  <w:style w:type="character" w:styleId="924" w:customStyle="1">
    <w:name w:val="+td-23-c"/>
    <w:pPr>
      <w:pBdr/>
      <w:spacing/>
      <w:ind/>
    </w:pPr>
    <w:rPr>
      <w:rFonts w:ascii="Arial" w:hAnsi="Arial" w:eastAsia="Arial" w:cs="Arial"/>
      <w:color w:val="000000"/>
    </w:rPr>
  </w:style>
  <w:style w:type="paragraph" w:styleId="925">
    <w:name w:val="List Paragraph"/>
    <w:basedOn w:val="884"/>
    <w:uiPriority w:val="34"/>
    <w:pPr>
      <w:pBdr/>
      <w:spacing/>
      <w:ind w:left="720"/>
      <w:contextualSpacing w:val="true"/>
    </w:pPr>
  </w:style>
  <w:style w:type="paragraph" w:styleId="926">
    <w:name w:val="li"/>
    <w:basedOn w:val="884"/>
    <w:uiPriority w:val="34"/>
    <w:qFormat/>
    <w:pPr>
      <w:pBdr/>
      <w:spacing/>
      <w:ind w:left="720"/>
      <w:contextualSpacing w:val="true"/>
    </w:pPr>
  </w:style>
  <w:style w:type="paragraph" w:styleId="927" w:customStyle="1">
    <w:name w:val="+li-29"/>
    <w:basedOn w:val="926"/>
    <w:qFormat/>
    <w:pPr>
      <w:pBdr/>
      <w:spacing w:after="150" w:afterAutospacing="0"/>
      <w:ind/>
    </w:pPr>
  </w:style>
  <w:style w:type="character" w:styleId="928" w:customStyle="1">
    <w:name w:val="+li-29-c"/>
    <w:pPr>
      <w:pBdr/>
      <w:spacing/>
      <w:ind/>
    </w:pPr>
    <w:rPr>
      <w:rFonts w:ascii="Arial" w:hAnsi="Arial" w:eastAsia="Arial" w:cs="Arial"/>
      <w:color w:val="000000"/>
    </w:rPr>
  </w:style>
  <w:style w:type="character" w:styleId="929">
    <w:name w:val="li-c+a-c"/>
    <w:basedOn w:val="884"/>
    <w:uiPriority w:val="99"/>
    <w:unhideWhenUsed/>
    <w:pPr>
      <w:pBdr/>
      <w:spacing/>
      <w:ind/>
    </w:pPr>
    <w:rPr>
      <w:color w:val="0000ff"/>
      <w:sz w:val="24"/>
      <w:szCs w:val="24"/>
      <w:u w:val="single"/>
    </w:rPr>
  </w:style>
  <w:style w:type="character" w:styleId="930" w:customStyle="1">
    <w:name w:val="+a-30-c"/>
    <w:basedOn w:val="929"/>
    <w:pPr>
      <w:pBdr/>
      <w:spacing/>
      <w:ind/>
    </w:pPr>
    <w:rPr>
      <w:rFonts w:ascii="Arial" w:hAnsi="Arial" w:eastAsia="Arial" w:cs="Arial"/>
      <w:color w:val="0553c1"/>
      <w:u w:val="single"/>
    </w:rPr>
  </w:style>
  <w:style w:type="paragraph" w:styleId="931" w:customStyle="1">
    <w:name w:val="+div-31"/>
    <w:qFormat/>
    <w:pPr>
      <w:pBdr/>
      <w:spacing/>
      <w:ind/>
      <w:jc w:val="center"/>
    </w:pPr>
  </w:style>
  <w:style w:type="character" w:styleId="932" w:customStyle="1">
    <w:name w:val="+div-31-c"/>
    <w:pPr>
      <w:pBdr/>
      <w:spacing/>
      <w:ind/>
    </w:pPr>
    <w:rPr>
      <w:rFonts w:ascii="Arial" w:hAnsi="Arial" w:eastAsia="Arial" w:cs="Arial"/>
      <w:color w:val="00000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bgeigiezen.safecast.jp" TargetMode="External"/><Relationship Id="rId10" Type="http://schemas.openxmlformats.org/officeDocument/2006/relationships/hyperlink" Target="https://safecast.org/devices/" TargetMode="Externa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hyperlink" Target="https://en.wikipedia.org/wiki/Safecast" TargetMode="External"/><Relationship Id="rId14" Type="http://schemas.openxmlformats.org/officeDocument/2006/relationships/hyperlink" Target="https://www.saveecobot.com/en/platform/savednipro-and-safecast" TargetMode="External"/><Relationship Id="rId15" Type="http://schemas.openxmlformats.org/officeDocument/2006/relationships/hyperlink" Target="https://safecast.org/history-of-safecast/" TargetMode="External"/><Relationship Id="rId16" Type="http://schemas.openxmlformats.org/officeDocument/2006/relationships/hyperlink" Target="https://safecast.org/history-of-safecast/" TargetMode="External"/><Relationship Id="rId17" Type="http://schemas.openxmlformats.org/officeDocument/2006/relationships/hyperlink" Target="https://www.hackster.io/rob-oudendijk/m5stack-geiger-counter-gps-https-bgeigiezen-safecast-jp-7edd7d" TargetMode="External"/><Relationship Id="rId18" Type="http://schemas.openxmlformats.org/officeDocument/2006/relationships/hyperlink" Target="https://safecast.org/history-of-safecast/" TargetMode="External"/><Relationship Id="rId19" Type="http://schemas.openxmlformats.org/officeDocument/2006/relationships/hyperlink" Target="https://bgeigiezen.safecast.jp" TargetMode="External"/><Relationship Id="rId20" Type="http://schemas.openxmlformats.org/officeDocument/2006/relationships/hyperlink" Target="https://github.com/Safecast/bGeigieNanoKit" TargetMode="External"/><Relationship Id="rId21" Type="http://schemas.openxmlformats.org/officeDocument/2006/relationships/hyperlink" Target="https://safecast.org/devices/bgeigie-nano/" TargetMode="External"/><Relationship Id="rId22" Type="http://schemas.openxmlformats.org/officeDocument/2006/relationships/hyperlink" Target="https://safecast.org/bgeigiezen-ongoing-improvements/" TargetMode="External"/><Relationship Id="rId23" Type="http://schemas.openxmlformats.org/officeDocument/2006/relationships/hyperlink" Target="https://safecast.org" TargetMode="External"/><Relationship Id="rId24" Type="http://schemas.openxmlformats.org/officeDocument/2006/relationships/hyperlink" Target="https://safecast.org" TargetMode="External"/><Relationship Id="rId25" Type="http://schemas.openxmlformats.org/officeDocument/2006/relationships/hyperlink" Target="https://safecast.org" TargetMode="External"/><Relationship Id="rId26" Type="http://schemas.openxmlformats.org/officeDocument/2006/relationships/hyperlink" Target="https://safecast.org" TargetMode="External"/><Relationship Id="rId27" Type="http://schemas.openxmlformats.org/officeDocument/2006/relationships/hyperlink" Target="https://safecast.org" TargetMode="External"/><Relationship Id="rId28" Type="http://schemas.openxmlformats.org/officeDocument/2006/relationships/hyperlink" Target="https://safecast.org" TargetMode="External"/><Relationship Id="rId29" Type="http://schemas.openxmlformats.org/officeDocument/2006/relationships/hyperlink" Target="https://safecast.org/devices/" TargetMode="External"/><Relationship Id="rId30" Type="http://schemas.openxmlformats.org/officeDocument/2006/relationships/hyperlink" Target="https://safecast.org" TargetMode="External"/><Relationship Id="rId31" Type="http://schemas.openxmlformats.org/officeDocument/2006/relationships/hyperlink" Target="https://safecast.org/devices/" TargetMode="External"/><Relationship Id="rId32" Type="http://schemas.openxmlformats.org/officeDocument/2006/relationships/hyperlink" Target="https://safecast.org" TargetMode="External"/><Relationship Id="rId33" Type="http://schemas.openxmlformats.org/officeDocument/2006/relationships/hyperlink" Target="https://safecast.org/devices/" TargetMode="External"/><Relationship Id="rId34" Type="http://schemas.openxmlformats.org/officeDocument/2006/relationships/hyperlink" Target="https://bgeigiezen.safecast.jp" TargetMode="External"/><Relationship Id="rId35" Type="http://schemas.openxmlformats.org/officeDocument/2006/relationships/hyperlink" Target="https://bgeigiezen.safecast.jp" TargetMode="External"/><Relationship Id="rId36" Type="http://schemas.openxmlformats.org/officeDocument/2006/relationships/hyperlink" Target="https://bgeigiezen.safecast.jp" TargetMode="External"/><Relationship Id="rId37" Type="http://schemas.openxmlformats.org/officeDocument/2006/relationships/hyperlink" Target="https://github.com/Safecast/bGeigie-Drive" TargetMode="External"/><Relationship Id="rId38" Type="http://schemas.openxmlformats.org/officeDocument/2006/relationships/hyperlink" Target="https://www.sciencedirect.com/science/article/abs/pii/S0265931X20301077" TargetMode="External"/><Relationship Id="rId39" Type="http://schemas.openxmlformats.org/officeDocument/2006/relationships/hyperlink" Target="https://safecast.org" TargetMode="External"/><Relationship Id="rId40" Type="http://schemas.openxmlformats.org/officeDocument/2006/relationships/hyperlink" Target="https://safecast.org" TargetMode="External"/><Relationship Id="rId41" Type="http://schemas.openxmlformats.org/officeDocument/2006/relationships/hyperlink" Target="https://ui.adsabs.harvard.edu/abs/2023EPJST.232.1465K/abstract" TargetMode="External"/><Relationship Id="rId42" Type="http://schemas.openxmlformats.org/officeDocument/2006/relationships/hyperlink" Target="https://safecast.org" TargetMode="External"/><Relationship Id="rId43" Type="http://schemas.openxmlformats.org/officeDocument/2006/relationships/hyperlink" Target="https://safecast.org/devices/" TargetMode="External"/><Relationship Id="rId44" Type="http://schemas.openxmlformats.org/officeDocument/2006/relationships/hyperlink" Target="https://safecast.org/devices/bgeigie-zen/" TargetMode="External"/><Relationship Id="rId45" Type="http://schemas.openxmlformats.org/officeDocument/2006/relationships/hyperlink" Target="https://safecast.org" TargetMode="External"/><Relationship Id="rId46" Type="http://schemas.openxmlformats.org/officeDocument/2006/relationships/hyperlink" Target="https://safecast.org" TargetMode="External"/><Relationship Id="rId47" Type="http://schemas.openxmlformats.org/officeDocument/2006/relationships/hyperlink" Target="https://safecast.org" TargetMode="External"/><Relationship Id="rId48" Type="http://schemas.openxmlformats.org/officeDocument/2006/relationships/hyperlink" Target="https://safecast.org" TargetMode="External"/><Relationship Id="rId49" Type="http://schemas.openxmlformats.org/officeDocument/2006/relationships/hyperlink" Target="https://safecast.org" TargetMode="External"/><Relationship Id="rId50" Type="http://schemas.openxmlformats.org/officeDocument/2006/relationships/hyperlink" Target="https://safecast.org" TargetMode="External"/><Relationship Id="rId51" Type="http://schemas.openxmlformats.org/officeDocument/2006/relationships/hyperlink" Target="https://safecast.org" TargetMode="External"/><Relationship Id="rId52" Type="http://schemas.openxmlformats.org/officeDocument/2006/relationships/hyperlink" Target="https://bgeigiezen.safecast.jp" TargetMode="External"/><Relationship Id="rId53" Type="http://schemas.openxmlformats.org/officeDocument/2006/relationships/hyperlink" Target="https://safecast.org" TargetMode="External"/><Relationship Id="rId54" Type="http://schemas.openxmlformats.org/officeDocument/2006/relationships/hyperlink" Target="https://safecast.org" TargetMode="External"/><Relationship Id="rId55" Type="http://schemas.openxmlformats.org/officeDocument/2006/relationships/hyperlink" Target="https://safecast.org/devices/" TargetMode="External"/><Relationship Id="rId56" Type="http://schemas.openxmlformats.org/officeDocument/2006/relationships/hyperlink" Target="https://bgeigiezen.safecast.jp" TargetMode="External"/><Relationship Id="rId57" Type="http://schemas.openxmlformats.org/officeDocument/2006/relationships/hyperlink" Target="https://safecast.org" TargetMode="External"/><Relationship Id="rId58" Type="http://schemas.openxmlformats.org/officeDocument/2006/relationships/hyperlink" Target="https://safecast.org" TargetMode="External"/><Relationship Id="rId59" Type="http://schemas.openxmlformats.org/officeDocument/2006/relationships/hyperlink" Target="https://github.com/Safecast/bGeigie-Drive"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Times New Roman"/>
        <a:ea typeface="Times New Roman"/>
        <a:cs typeface="Times New Roman"/>
      </a:majorFont>
      <a:minorFont>
        <a:latin typeface="Times New Roman"/>
        <a:ea typeface="Times New Roman"/>
        <a:cs typeface="Times New Roman"/>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ONLYOFFICE/9.0.3.29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3</cp:revision>
  <dcterms:modified xsi:type="dcterms:W3CDTF">2025-08-09T02:57:36Z</dcterms:modified>
</cp:coreProperties>
</file>