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Multi-Sensor Deep Learning Fusion for Glacial Lake Tracking and GLOF Hazard Assessment in the Hunza Valley, Gilgit-Baltistan</w:t>
      </w:r>
    </w:p>
    <w:p>
      <w:pPr>
        <w:spacing w:after="160"/>
        <w:jc w:val="center"/>
      </w:pPr>
      <w:r>
        <w:rPr>
          <w:rFonts w:ascii="Times New Roman" w:cs="Times New Roman" w:eastAsia="Times New Roman" w:hAnsi="Times New Roman"/>
          <w:i/>
          <w:iCs/>
          <w:sz w:val="22"/>
          <w:szCs w:val="22"/>
        </w:rPr>
        <w:t xml:space="preserve">Deliverable 2 — Methodology and Experimental Setup</w:t>
      </w:r>
    </w:p>
    <w:p>
      <w:pPr>
        <w:spacing w:after="40"/>
        <w:jc w:val="center"/>
      </w:pPr>
      <w:r>
        <w:rPr>
          <w:rFonts w:ascii="Times New Roman" w:cs="Times New Roman" w:eastAsia="Times New Roman" w:hAnsi="Times New Roman"/>
          <w:sz w:val="22"/>
          <w:szCs w:val="22"/>
        </w:rPr>
        <w:t xml:space="preserve">Muhammad Ali Saleem, Junaid Minhas, and Safee Akmal</w:t>
      </w:r>
    </w:p>
    <w:p>
      <w:pPr>
        <w:spacing w:after="40"/>
        <w:jc w:val="center"/>
      </w:pPr>
      <w:r>
        <w:rPr>
          <w:rFonts w:ascii="Times New Roman" w:cs="Times New Roman" w:eastAsia="Times New Roman" w:hAnsi="Times New Roman"/>
          <w:i/>
          <w:iCs/>
          <w:sz w:val="19"/>
          <w:szCs w:val="19"/>
        </w:rPr>
        <w:t xml:space="preserve">Deep Learning for Perception — Semester Research Project, </w:t>
      </w:r>
      <w:r>
        <w:rPr>
          <w:rFonts w:ascii="Times New Roman" w:cs="Times New Roman" w:eastAsia="Times New Roman" w:hAnsi="Times New Roman"/>
          <w:b/>
          <w:bCs/>
          <w:i/>
          <w:iCs/>
          <w:sz w:val="19"/>
          <w:szCs w:val="19"/>
          <w:highlight w:val="yellow"/>
        </w:rPr>
        <w:t xml:space="preserve">[FILL: Department, University]</w:t>
      </w:r>
    </w:p>
    <w:p>
      <w:pPr>
        <w:spacing w:after="240"/>
        <w:jc w:val="center"/>
      </w:pPr>
      <w:r>
        <w:rPr>
          <w:rFonts w:ascii="Times New Roman" w:cs="Times New Roman" w:eastAsia="Times New Roman" w:hAnsi="Times New Roman"/>
          <w:b/>
          <w:bCs/>
          <w:sz w:val="19"/>
          <w:szCs w:val="19"/>
          <w:highlight w:val="yellow"/>
        </w:rPr>
        <w:t xml:space="preserve">[FILL: email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Before you submit — delete this box</w:t>
            </w:r>
          </w:p>
          <w:p>
            <w:pPr>
              <w:spacing w:after="50"/>
              <w:jc w:val="left"/>
            </w:pPr>
            <w:r>
              <w:rPr>
                <w:rFonts w:ascii="Times New Roman" w:cs="Times New Roman" w:eastAsia="Times New Roman" w:hAnsi="Times New Roman"/>
                <w:sz w:val="19"/>
                <w:szCs w:val="19"/>
              </w:rPr>
              <w:t xml:space="preserve">Fill the yellow placeholders under the title.</w:t>
            </w:r>
          </w:p>
          <w:p>
            <w:pPr>
              <w:spacing w:after="50"/>
              <w:jc w:val="left"/>
            </w:pPr>
            <w:r>
              <w:rPr>
                <w:rFonts w:ascii="Times New Roman" w:cs="Times New Roman" w:eastAsia="Times New Roman" w:hAnsi="Times New Roman"/>
                <w:sz w:val="19"/>
                <w:szCs w:val="19"/>
              </w:rPr>
              <w:t xml:space="preserve">This document contains Section III (Methodology and Experimental Setup) with the required subsections: Proposed Methodology, Model Architecture, Dataset and Preprocessing, Training Configuration and Evaluation Metrics. It describes exactly what notebooks/glof_pipeline.ipynb does.</w:t>
            </w:r>
          </w:p>
          <w:p>
            <w:pPr>
              <w:spacing w:after="50"/>
              <w:jc w:val="left"/>
            </w:pPr>
            <w:r>
              <w:rPr>
                <w:rFonts w:ascii="Times New Roman" w:cs="Times New Roman" w:eastAsia="Times New Roman" w:hAnsi="Times New Roman"/>
                <w:sz w:val="19"/>
                <w:szCs w:val="19"/>
              </w:rPr>
              <w:t xml:space="preserve">Section numbering (III) matches the complete paper; if your instructor wants it numbered as 3, change the heading only.</w:t>
            </w:r>
          </w:p>
        </w:tc>
      </w:tr>
    </w:tbl>
    <w:p>
      <w:pPr>
        <w:spacing w:after="120"/>
      </w:pPr>
    </w:p>
    <w:p>
      <w:pPr>
        <w:pStyle w:val="Heading1"/>
        <w:keepNext/>
        <w:spacing w:after="120" w:before="240"/>
        <w:jc w:val="center"/>
      </w:pPr>
      <w:r>
        <w:rPr>
          <w:rFonts w:ascii="Times New Roman" w:cs="Times New Roman" w:eastAsia="Times New Roman" w:hAnsi="Times New Roman"/>
          <w:sz w:val="22"/>
          <w:szCs w:val="22"/>
        </w:rPr>
        <w:t xml:space="preserve">III. METHODOLOGY AND EXPERIMENTAL SETUP</w:t>
      </w:r>
    </w:p>
    <w:p>
      <w:pPr>
        <w:pStyle w:val="Heading2"/>
        <w:keepNext/>
        <w:spacing w:after="80" w:before="160"/>
      </w:pPr>
      <w:r>
        <w:rPr>
          <w:rFonts w:ascii="Times New Roman" w:cs="Times New Roman" w:eastAsia="Times New Roman" w:hAnsi="Times New Roman"/>
          <w:i/>
          <w:iCs/>
          <w:sz w:val="22"/>
          <w:szCs w:val="22"/>
        </w:rPr>
        <w:t xml:space="preserve">A. Proposed Methodology</w:t>
      </w:r>
    </w:p>
    <w:p>
      <w:pPr>
        <w:spacing w:after="100" w:line="264"/>
        <w:ind w:firstLine="284"/>
        <w:jc w:val="both"/>
      </w:pPr>
      <w:r>
        <w:rPr>
          <w:rFonts w:ascii="Times New Roman" w:cs="Times New Roman" w:eastAsia="Times New Roman" w:hAnsi="Times New Roman"/>
        </w:rPr>
        <w:t xml:space="preserve">The proposed approach is an early-fusion U-Net </w:t>
      </w:r>
      <w:r>
        <w:rPr>
          <w:rFonts w:ascii="Times New Roman" w:cs="Times New Roman" w:eastAsia="Times New Roman" w:hAnsi="Times New Roman"/>
        </w:rPr>
        <w:t xml:space="preserve">[1]</w:t>
      </w:r>
      <w:r>
        <w:rPr>
          <w:rFonts w:ascii="Times New Roman" w:cs="Times New Roman" w:eastAsia="Times New Roman" w:hAnsi="Times New Roman"/>
        </w:rPr>
        <w:t xml:space="preserve"> with a ResNet-18 encoder </w:t>
      </w:r>
      <w:r>
        <w:rPr>
          <w:rFonts w:ascii="Times New Roman" w:cs="Times New Roman" w:eastAsia="Times New Roman" w:hAnsi="Times New Roman"/>
        </w:rPr>
        <w:t xml:space="preserve">[2]</w:t>
      </w:r>
      <w:r>
        <w:rPr>
          <w:rFonts w:ascii="Times New Roman" w:cs="Times New Roman" w:eastAsia="Times New Roman" w:hAnsi="Times New Roman"/>
        </w:rPr>
        <w:t xml:space="preserve"> that segments glacial-lake water from co-registered Sentinel-1 SAR, Sentinel-2 optical and Copernicus DEM inputs, compared against two identical U-Nets that receive only optical inputs (baseline) or only radar and terrain inputs (ablation). The workflow (</w:t>
      </w:r>
      <w:r>
        <w:rPr>
          <w:rFonts w:ascii="Times New Roman" w:cs="Times New Roman" w:eastAsia="Times New Roman" w:hAnsi="Times New Roman"/>
        </w:rPr>
        <w:t xml:space="preserve">Fig. 1</w:t>
      </w:r>
      <w:r>
        <w:rPr>
          <w:rFonts w:ascii="Times New Roman" w:cs="Times New Roman" w:eastAsia="Times New Roman" w:hAnsi="Times New Roman"/>
        </w:rPr>
        <w:t xml:space="preserve">) has six stages: (1) acquisition of every available acquisition in event-centred and seasonal windows from Google Earth Engine </w:t>
      </w:r>
      <w:r>
        <w:rPr>
          <w:rFonts w:ascii="Times New Roman" w:cs="Times New Roman" w:eastAsia="Times New Roman" w:hAnsi="Times New Roman"/>
        </w:rPr>
        <w:t xml:space="preserve">[3]</w:t>
      </w:r>
      <w:r>
        <w:rPr>
          <w:rFonts w:ascii="Times New Roman" w:cs="Times New Roman" w:eastAsia="Times New Roman" w:hAnsi="Times New Roman"/>
        </w:rPr>
        <w:t xml:space="preserve">; (2) co-registration of all modalities on a common 10 m grid; (3) automatic generation of water labels from optical data; (4) training of the optical-only baseline, the radar-only ablation and the fusion model, each with three random seeds; (5) evaluation of all models on held-out years, under clear conditions and under simulated complete cloud cover; and (6) application of the fusion model to every date — including dates with radar only — to derive lake-area and growth-rate time series and a transparent hazard index that is compared against the documented events. The final objective is therefore threefold: a performance comparison (RQ1), a robustness test when optical data are missing (RQ1), and a retrospective event analysis (RQ2, RQ3).</w:t>
      </w:r>
    </w:p>
    <w:p>
      <w:pPr>
        <w:keepNext/>
        <w:spacing w:after="60" w:before="120"/>
        <w:jc w:val="center"/>
      </w:pPr>
      <w:r>
        <w:drawing>
          <wp:inline distT="0" distB="0" distL="0" distR="0">
            <wp:extent cx="5852160" cy="2844800"/>
            <wp:effectExtent t="0" r="0" b="0" l="0"/>
            <wp:docPr id="5" name="pipeline" descr="Overview of the proposed pipeline. Blue: data acquisition and preparation; orange: labels and models; green: outputs. The optical-only and radar-only models are used for the comparison only; the fusion model (3-seed ensemble) produces the time series and hazard index. All models use a ResNet-18 encoder, balanced crop sampling and three training seeds." title="Overview of the proposed pipeline. Blue: data acquisition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284480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1. </w:t>
      </w:r>
      <w:r>
        <w:rPr>
          <w:rFonts w:ascii="Times New Roman" w:cs="Times New Roman" w:eastAsia="Times New Roman" w:hAnsi="Times New Roman"/>
          <w:sz w:val="18"/>
          <w:szCs w:val="18"/>
        </w:rPr>
        <w:t xml:space="preserve">Overview of the proposed pipeline. Blue: data acquisition and preparation; orange: labels and models; green: outputs. The optical-only and radar-only models are used for the comparison only; the fusion model (3-seed ensemble) produces the time series and hazard index. All models use a ResNet-18 encoder, balanced crop sampling and three training seeds.</w:t>
      </w:r>
    </w:p>
    <w:p>
      <w:pPr>
        <w:pStyle w:val="Heading3"/>
        <w:keepNext/>
        <w:spacing w:after="60" w:before="100"/>
        <w:ind w:firstLine="284"/>
      </w:pPr>
      <w:r>
        <w:rPr>
          <w:rFonts w:ascii="Times New Roman" w:cs="Times New Roman" w:eastAsia="Times New Roman" w:hAnsi="Times New Roman"/>
          <w:i/>
          <w:iCs/>
          <w:sz w:val="21"/>
          <w:szCs w:val="21"/>
        </w:rPr>
        <w:t xml:space="preserve">1) Study sites:</w:t>
      </w:r>
    </w:p>
    <w:p>
      <w:pPr>
        <w:spacing w:after="100" w:line="264"/>
        <w:ind w:firstLine="284"/>
        <w:jc w:val="both"/>
      </w:pPr>
      <w:r>
        <w:rPr>
          <w:rFonts w:ascii="Times New Roman" w:cs="Times New Roman" w:eastAsia="Times New Roman" w:hAnsi="Times New Roman"/>
        </w:rPr>
        <w:t xml:space="preserve">The study covers three sites in the Hunza basin (</w:t>
      </w:r>
      <w:r>
        <w:rPr>
          <w:rFonts w:ascii="Times New Roman" w:cs="Times New Roman" w:eastAsia="Times New Roman" w:hAnsi="Times New Roman"/>
        </w:rPr>
        <w:t xml:space="preserve">Table I</w:t>
      </w:r>
      <w:r>
        <w:rPr>
          <w:rFonts w:ascii="Times New Roman" w:cs="Times New Roman" w:eastAsia="Times New Roman" w:hAnsi="Times New Roman"/>
        </w:rPr>
        <w:t xml:space="preserve">, </w:t>
      </w:r>
      <w:r>
        <w:rPr>
          <w:rFonts w:ascii="Times New Roman" w:cs="Times New Roman" w:eastAsia="Times New Roman" w:hAnsi="Times New Roman"/>
        </w:rPr>
        <w:t xml:space="preserve">Fig. 2</w:t>
      </w:r>
      <w:r>
        <w:rPr>
          <w:rFonts w:ascii="Times New Roman" w:cs="Times New Roman" w:eastAsia="Times New Roman" w:hAnsi="Times New Roman"/>
        </w:rPr>
        <w:t xml:space="preserve">). Shishper and Khurdopin are the two event sites. For the Passu comparison site we verified on Sentinel-2 imagery that Passu Glacier has no persistent lake at its terminus during 2017–2022; the monitored water body is therefore Borith Lake, the perennial lake immediately south of the Passu Glacier terminus, which had no outburst in the study period. All site centres were located on the imagery because the approximate coordinates in our earlier project plan were 1–7 km off the lakes.</w:t>
      </w:r>
    </w:p>
    <w:p>
      <w:pPr>
        <w:keepNext/>
        <w:spacing w:after="4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STUDY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231"/>
        <w:gridCol w:w="1521"/>
        <w:gridCol w:w="3347"/>
        <w:gridCol w:w="1221"/>
      </w:tblGrid>
      <w:tr>
        <w:trPr>
          <w:cantSplit/>
          <w:tblHeader/>
        </w:trPr>
        <w:tc>
          <w:tcPr>
            <w:tcW w:type="dxa" w:w="13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223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Lake type</w:t>
            </w:r>
          </w:p>
        </w:tc>
        <w:tc>
          <w:tcPr>
            <w:tcW w:type="dxa" w:w="15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Centre (lat, lon)</w:t>
            </w:r>
          </w:p>
        </w:tc>
        <w:tc>
          <w:tcPr>
            <w:tcW w:type="dxa" w:w="33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Documented event(s)</w:t>
            </w:r>
          </w:p>
        </w:tc>
        <w:tc>
          <w:tcPr>
            <w:tcW w:type="dxa" w:w="122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Role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Ice-dammed (surging glacier blocks a side valley)</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36.358°N, 74.568°E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Repeated drainage from 2019 </w:t>
            </w:r>
            <w:r>
              <w:rPr>
                <w:rFonts w:ascii="Times New Roman" w:cs="Times New Roman" w:eastAsia="Times New Roman" w:hAnsi="Times New Roman"/>
                <w:b w:val="false"/>
                <w:bCs w:val="false"/>
                <w:sz w:val="16"/>
                <w:szCs w:val="16"/>
              </w:rPr>
              <w:t xml:space="preserve">[4]</w:t>
            </w:r>
            <w:r>
              <w:rPr>
                <w:rFonts w:ascii="Times New Roman" w:cs="Times New Roman" w:eastAsia="Times New Roman" w:hAnsi="Times New Roman"/>
                <w:b w:val="false"/>
                <w:bCs w:val="false"/>
                <w:sz w:val="16"/>
                <w:szCs w:val="16"/>
              </w:rPr>
              <w:t xml:space="preserve">; 29 May 2020; 7 May 2022 </w:t>
            </w:r>
            <w:r>
              <w:rPr>
                <w:rFonts w:ascii="Times New Roman" w:cs="Times New Roman" w:eastAsia="Times New Roman" w:hAnsi="Times New Roman"/>
                <w:b w:val="false"/>
                <w:bCs w:val="false"/>
                <w:sz w:val="16"/>
                <w:szCs w:val="16"/>
              </w:rPr>
              <w:t xml:space="preserve">[5]</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223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Surge-dammed (Shimshal River)</w:t>
            </w:r>
          </w:p>
        </w:tc>
        <w:tc>
          <w:tcPr>
            <w:tcW w:type="dxa" w:w="15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36.361°N, 75.449°E</w:t>
            </w:r>
          </w:p>
        </w:tc>
        <w:tc>
          <w:tcPr>
            <w:tcW w:type="dxa" w:w="3347"/>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Formed Mar 2017; drainage onset ≈ 21 Jul 2017, drained by 3 Aug 2017 </w:t>
            </w:r>
            <w:r>
              <w:rPr>
                <w:rFonts w:ascii="Times New Roman" w:cs="Times New Roman" w:eastAsia="Times New Roman" w:hAnsi="Times New Roman"/>
                <w:b w:val="false"/>
                <w:bCs w:val="false"/>
                <w:sz w:val="16"/>
                <w:szCs w:val="16"/>
              </w:rPr>
              <w:t xml:space="preserve">[6]</w:t>
            </w:r>
          </w:p>
        </w:tc>
        <w:tc>
          <w:tcPr>
            <w:tcW w:type="dxa" w:w="1221"/>
            <w:tcBorders>
              <w:top w:val="none" w:color="FFFFFF" w:sz="0"/>
              <w:left w:val="none" w:color="FFFFFF" w:sz="0"/>
              <w:bottom w:val="single" w:color="BFBFBF" w:sz="2"/>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Event site</w:t>
            </w:r>
          </w:p>
        </w:tc>
      </w:tr>
      <w:tr>
        <w:trPr>
          <w:cantSplit/>
          <w:tblHeader w:val="off"/>
        </w:trPr>
        <w:tc>
          <w:tcPr>
            <w:tcW w:type="dxa" w:w="131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 Lake)</w:t>
            </w:r>
          </w:p>
        </w:tc>
        <w:tc>
          <w:tcPr>
            <w:tcW w:type="dxa" w:w="223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Perennial lake beside Passu Glacier</w:t>
            </w:r>
          </w:p>
        </w:tc>
        <w:tc>
          <w:tcPr>
            <w:tcW w:type="dxa" w:w="15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36.432°N, 74.862°E</w:t>
            </w:r>
          </w:p>
        </w:tc>
        <w:tc>
          <w:tcPr>
            <w:tcW w:type="dxa" w:w="334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No outburst during 2017–2022</w:t>
            </w:r>
          </w:p>
        </w:tc>
        <w:tc>
          <w:tcPr>
            <w:tcW w:type="dxa" w:w="122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Comparison site</w:t>
            </w:r>
          </w:p>
        </w:tc>
      </w:tr>
    </w:tbl>
    <w:p>
      <w:pPr>
        <w:spacing w:after="160"/>
      </w:pPr>
    </w:p>
    <w:p>
      <w:pPr>
        <w:keepNext/>
        <w:spacing w:after="60" w:before="120"/>
        <w:jc w:val="center"/>
      </w:pPr>
      <w:r>
        <w:drawing>
          <wp:inline distT="0" distB="0" distL="0" distR="0">
            <wp:extent cx="5852160" cy="2275840"/>
            <wp:effectExtent t="0" r="0" b="0" l="0"/>
            <wp:docPr id="6" name="study" descr="The three 4.48 × 4.48 km study boxes (Sentinel-2 true colour). The cross marks the lake point used to identify the lake when measuring its area." title="The three 4.48 × 4.48 km study boxes (Sentinel-2 true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27584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2. </w:t>
      </w:r>
      <w:r>
        <w:rPr>
          <w:rFonts w:ascii="Times New Roman" w:cs="Times New Roman" w:eastAsia="Times New Roman" w:hAnsi="Times New Roman"/>
          <w:sz w:val="18"/>
          <w:szCs w:val="18"/>
        </w:rPr>
        <w:t xml:space="preserve">The three 4.48 × 4.48 km study boxes (Sentinel-2 true colour). The cross marks the lake point used to identify the lake when measuring its area.</w:t>
      </w:r>
    </w:p>
    <w:p>
      <w:pPr>
        <w:pStyle w:val="Heading2"/>
        <w:keepNext/>
        <w:spacing w:after="80" w:before="160"/>
      </w:pPr>
      <w:r>
        <w:rPr>
          <w:rFonts w:ascii="Times New Roman" w:cs="Times New Roman" w:eastAsia="Times New Roman" w:hAnsi="Times New Roman"/>
          <w:i/>
          <w:iCs/>
          <w:sz w:val="22"/>
          <w:szCs w:val="22"/>
        </w:rPr>
        <w:t xml:space="preserve">B. Model Architecture</w:t>
      </w:r>
    </w:p>
    <w:p>
      <w:pPr>
        <w:spacing w:after="100" w:line="264"/>
        <w:ind w:firstLine="284"/>
        <w:jc w:val="both"/>
      </w:pPr>
      <w:r>
        <w:rPr>
          <w:rFonts w:ascii="Times New Roman" w:cs="Times New Roman" w:eastAsia="Times New Roman" w:hAnsi="Times New Roman"/>
        </w:rPr>
        <w:t xml:space="preserve">All three models share the U-Net architecture shown in </w:t>
      </w:r>
      <w:r>
        <w:rPr>
          <w:rFonts w:ascii="Times New Roman" w:cs="Times New Roman" w:eastAsia="Times New Roman" w:hAnsi="Times New Roman"/>
        </w:rPr>
        <w:t xml:space="preserve">Fig. 3</w:t>
      </w:r>
      <w:r>
        <w:rPr>
          <w:rFonts w:ascii="Times New Roman" w:cs="Times New Roman" w:eastAsia="Times New Roman" w:hAnsi="Times New Roman"/>
        </w:rPr>
        <w:t xml:space="preserve">. The encoder is a ResNet-18 that reduces the input resolution in five steps (to 1/32) while increasing the number of feature channels to 512; residual connections make the encoder easy to optimise. The decoder upsamples in five steps, concatenating at each step the encoder feature map of the same resolution (skip connection) and applying two 3 × 3 convolutions with batch normalisation and ReLU. A final 1 × 1 convolution and a sigmoid output the per-pixel water probability.</w:t>
      </w:r>
    </w:p>
    <w:p>
      <w:pPr>
        <w:spacing w:after="100" w:line="264"/>
        <w:ind w:firstLine="284"/>
        <w:jc w:val="both"/>
      </w:pPr>
      <w:r>
        <w:rPr>
          <w:rFonts w:ascii="Times New Roman" w:cs="Times New Roman" w:eastAsia="Times New Roman" w:hAnsi="Times New Roman"/>
          <w:b/>
          <w:bCs/>
        </w:rPr>
        <w:t xml:space="preserve">Rationale.</w:t>
      </w:r>
      <w:r>
        <w:rPr>
          <w:rFonts w:ascii="Times New Roman" w:cs="Times New Roman" w:eastAsia="Times New Roman" w:hAnsi="Times New Roman"/>
        </w:rPr>
        <w:t xml:space="preserve"> U-Net is the standard architecture for pixel-wise segmentation from limited labels, its skip connections preserve the sharp lake shorelines needed for accurate area, and it is the architecture used by the closest regional fusion study </w:t>
      </w:r>
      <w:r>
        <w:rPr>
          <w:rFonts w:ascii="Times New Roman" w:cs="Times New Roman" w:eastAsia="Times New Roman" w:hAnsi="Times New Roman"/>
        </w:rPr>
        <w:t xml:space="preserve">[7]</w:t>
      </w:r>
      <w:r>
        <w:rPr>
          <w:rFonts w:ascii="Times New Roman" w:cs="Times New Roman" w:eastAsia="Times New Roman" w:hAnsi="Times New Roman"/>
        </w:rPr>
        <w:t xml:space="preserve">. ResNet-18 was chosen over deeper encoders because the labelled set is small (137 training images) and training has to fit a free Colab GPU; with 14.3 M parameters the model trains in minutes. The encoder is initialised with ImageNet weights </w:t>
      </w:r>
      <w:r>
        <w:rPr>
          <w:rFonts w:ascii="Times New Roman" w:cs="Times New Roman" w:eastAsia="Times New Roman" w:hAnsi="Times New Roman"/>
        </w:rPr>
        <w:t xml:space="preserve">[8]</w:t>
      </w:r>
      <w:r>
        <w:rPr>
          <w:rFonts w:ascii="Times New Roman" w:cs="Times New Roman" w:eastAsia="Times New Roman" w:hAnsi="Times New Roman"/>
        </w:rPr>
        <w:t xml:space="preserve">; for inputs with more than three channels, the pretrained filters of the first convolution are cycled over the additional channels and rescaled (segmentation-models-pytorch default </w:t>
      </w:r>
      <w:r>
        <w:rPr>
          <w:rFonts w:ascii="Times New Roman" w:cs="Times New Roman" w:eastAsia="Times New Roman" w:hAnsi="Times New Roman"/>
        </w:rPr>
        <w:t xml:space="preserve">[9]</w:t>
      </w:r>
      <w:r>
        <w:rPr>
          <w:rFonts w:ascii="Times New Roman" w:cs="Times New Roman" w:eastAsia="Times New Roman" w:hAnsi="Times New Roman"/>
        </w:rPr>
        <w:t xml:space="preserve">), and all layers are fine-tuned.</w:t>
      </w:r>
    </w:p>
    <w:p>
      <w:pPr>
        <w:spacing w:after="100" w:line="264"/>
        <w:ind w:firstLine="284"/>
        <w:jc w:val="both"/>
      </w:pPr>
      <w:r>
        <w:rPr>
          <w:rFonts w:ascii="Times New Roman" w:cs="Times New Roman" w:eastAsia="Times New Roman" w:hAnsi="Times New Roman"/>
          <w:b/>
          <w:bCs/>
        </w:rPr>
        <w:t xml:space="preserve">Early fusion.</w:t>
      </w:r>
      <w:r>
        <w:rPr>
          <w:rFonts w:ascii="Times New Roman" w:cs="Times New Roman" w:eastAsia="Times New Roman" w:hAnsi="Times New Roman"/>
        </w:rPr>
        <w:t xml:space="preserve"> In the fusion model the nine channels of </w:t>
      </w:r>
      <w:r>
        <w:rPr>
          <w:rFonts w:ascii="Times New Roman" w:cs="Times New Roman" w:eastAsia="Times New Roman" w:hAnsi="Times New Roman"/>
        </w:rPr>
        <w:t xml:space="preserve">Table II</w:t>
      </w:r>
      <w:r>
        <w:rPr>
          <w:rFonts w:ascii="Times New Roman" w:cs="Times New Roman" w:eastAsia="Times New Roman" w:hAnsi="Times New Roman"/>
        </w:rPr>
        <w:t xml:space="preserve"> are stacked at the input, so the network learns joint optical–radar–terrain features from the first layer. Early fusion is the simplest fusion strategy, keeps the models architecturally identical (only the first convolution differs), and therefore isolates the effect of the inputs. A radar-only U-Net that receives only the four radar and terrain channels serves as an ablation: comparing it with the optical-only and fusion models shows whether fusion adds anything beyond each sensor alone. To make the fusion model usable on cloudy and radar-only dates, it is trained with </w:t>
      </w:r>
      <w:r>
        <w:rPr>
          <w:rFonts w:ascii="Times New Roman" w:cs="Times New Roman" w:eastAsia="Times New Roman" w:hAnsi="Times New Roman"/>
          <w:b/>
          <w:bCs/>
        </w:rPr>
        <w:t xml:space="preserve">optical-channel dropout</w:t>
      </w:r>
      <w:r>
        <w:rPr>
          <w:rFonts w:ascii="Times New Roman" w:cs="Times New Roman" w:eastAsia="Times New Roman" w:hAnsi="Times New Roman"/>
        </w:rPr>
        <w:t xml:space="preserve">: for 30% of training crops all five optical channels are set to zero, forcing the network to also learn to segment water from SAR and terrain alone.</w:t>
      </w:r>
    </w:p>
    <w:p>
      <w:pPr>
        <w:keepNext/>
        <w:spacing w:after="60" w:before="120"/>
        <w:jc w:val="center"/>
      </w:pPr>
      <w:r>
        <w:drawing>
          <wp:inline distT="0" distB="0" distL="0" distR="0">
            <wp:extent cx="5852160" cy="2519680"/>
            <wp:effectExtent t="0" r="0" b="0" l="0"/>
            <wp:docPr id="7" name="arch" descr="U-Net with ResNet-18 encoder. Numbers give feature channels and down-sampling factor; C = 5 for the optical-only, C = 4 for the radar-only and C = 9 for the fusion model." title="U-Net with ResNet-18 encoder. Numbers give feature chann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51968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3. </w:t>
      </w:r>
      <w:r>
        <w:rPr>
          <w:rFonts w:ascii="Times New Roman" w:cs="Times New Roman" w:eastAsia="Times New Roman" w:hAnsi="Times New Roman"/>
          <w:sz w:val="18"/>
          <w:szCs w:val="18"/>
        </w:rPr>
        <w:t xml:space="preserve">U-Net with ResNet-18 encoder. Numbers give feature channels and down-sampling factor; C = 5 for the optical-only, C = 4 for the radar-only and C = 9 for the fusion model.</w:t>
      </w:r>
    </w:p>
    <w:p>
      <w:pPr>
        <w:keepNext/>
        <w:spacing w:after="4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MODEL INPUT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9"/>
        <w:gridCol w:w="1906"/>
        <w:gridCol w:w="2118"/>
        <w:gridCol w:w="2224"/>
        <w:gridCol w:w="953"/>
        <w:gridCol w:w="953"/>
        <w:gridCol w:w="955"/>
      </w:tblGrid>
      <w:tr>
        <w:trPr>
          <w:cantSplit/>
          <w:tblHeader/>
        </w:trPr>
        <w:tc>
          <w:tcPr>
            <w:tcW w:type="dxa" w:w="529"/>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t>
            </w:r>
          </w:p>
        </w:tc>
        <w:tc>
          <w:tcPr>
            <w:tcW w:type="dxa" w:w="190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Channel</w:t>
            </w:r>
          </w:p>
        </w:tc>
        <w:tc>
          <w:tcPr>
            <w:tcW w:type="dxa" w:w="211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Source</w:t>
            </w:r>
          </w:p>
        </w:tc>
        <w:tc>
          <w:tcPr>
            <w:tcW w:type="dxa" w:w="222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Unit / range</w:t>
            </w:r>
          </w:p>
        </w:tc>
        <w:tc>
          <w:tcPr>
            <w:tcW w:type="dxa" w:w="95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w:t>
            </w:r>
          </w:p>
        </w:tc>
        <w:tc>
          <w:tcPr>
            <w:tcW w:type="dxa" w:w="95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Radar</w:t>
            </w:r>
          </w:p>
        </w:tc>
        <w:tc>
          <w:tcPr>
            <w:tcW w:type="dxa" w:w="95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Fusion</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B2 (blue)</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2</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B3 (green)</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B4 (red)</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4</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B8 (NIR)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Sentinel-2</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TOA reflectance, 0–1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NDWI</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B3, B8</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 to 1</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6</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VV backscatter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7</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VH backscatter</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Sentinel-1</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dB</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8</w:t>
            </w:r>
          </w:p>
        </w:tc>
        <w:tc>
          <w:tcPr>
            <w:tcW w:type="dxa" w:w="190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Elevation</w:t>
            </w:r>
          </w:p>
        </w:tc>
        <w:tc>
          <w:tcPr>
            <w:tcW w:type="dxa" w:w="2118"/>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Copernicus DEM</w:t>
            </w:r>
          </w:p>
        </w:tc>
        <w:tc>
          <w:tcPr>
            <w:tcW w:type="dxa" w:w="222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m a.s.l.</w:t>
            </w: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r>
        <w:trPr>
          <w:cantSplit/>
          <w:tblHeader w:val="off"/>
        </w:trPr>
        <w:tc>
          <w:tcPr>
            <w:tcW w:type="dxa" w:w="529"/>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9</w:t>
            </w:r>
          </w:p>
        </w:tc>
        <w:tc>
          <w:tcPr>
            <w:tcW w:type="dxa" w:w="190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Slope</w:t>
            </w:r>
          </w:p>
        </w:tc>
        <w:tc>
          <w:tcPr>
            <w:tcW w:type="dxa" w:w="2118"/>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Derived from DEM</w:t>
            </w:r>
          </w:p>
        </w:tc>
        <w:tc>
          <w:tcPr>
            <w:tcW w:type="dxa" w:w="222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degrees</w:t>
            </w:r>
          </w:p>
        </w:tc>
        <w:tc>
          <w:tcPr>
            <w:tcW w:type="dxa" w:w="95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p>
        </w:tc>
        <w:tc>
          <w:tcPr>
            <w:tcW w:type="dxa" w:w="95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c>
          <w:tcPr>
            <w:tcW w:type="dxa" w:w="955"/>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C. Dataset and Preprocessing</w:t>
      </w:r>
    </w:p>
    <w:p>
      <w:pPr>
        <w:pStyle w:val="Heading3"/>
        <w:keepNext/>
        <w:spacing w:after="60" w:before="100"/>
        <w:ind w:firstLine="284"/>
      </w:pPr>
      <w:r>
        <w:rPr>
          <w:rFonts w:ascii="Times New Roman" w:cs="Times New Roman" w:eastAsia="Times New Roman" w:hAnsi="Times New Roman"/>
          <w:i/>
          <w:iCs/>
          <w:sz w:val="21"/>
          <w:szCs w:val="21"/>
        </w:rPr>
        <w:t xml:space="preserve">1) Data sources:</w:t>
      </w:r>
    </w:p>
    <w:p>
      <w:pPr>
        <w:spacing w:after="100" w:line="264"/>
        <w:ind w:firstLine="284"/>
        <w:jc w:val="both"/>
      </w:pPr>
      <w:r>
        <w:rPr>
          <w:rFonts w:ascii="Times New Roman" w:cs="Times New Roman" w:eastAsia="Times New Roman" w:hAnsi="Times New Roman"/>
        </w:rPr>
        <w:t xml:space="preserve">All data are open and accessed through the Earth Engine Python API (</w:t>
      </w:r>
      <w:r>
        <w:rPr>
          <w:rFonts w:ascii="Times New Roman" w:cs="Times New Roman" w:eastAsia="Times New Roman" w:hAnsi="Times New Roman"/>
        </w:rPr>
        <w:t xml:space="preserve">Table III</w:t>
      </w:r>
      <w:r>
        <w:rPr>
          <w:rFonts w:ascii="Times New Roman" w:cs="Times New Roman" w:eastAsia="Times New Roman" w:hAnsi="Times New Roman"/>
        </w:rPr>
        <w:t xml:space="preserve">). Sentinel-2 Level-1C top-of-atmosphere reflectance is used instead of Level-2A surface reflectance because Level-2A coverage over the Karakoram is incomplete in 2017–2018, which includes the Khurdopin event. Sentinel-1 GRD scenes in Earth Engine are already calibrated, terrain-corrected and converted to decibels; we do not repeat these steps. For each site one orbit direction is used throughout (the direction with more scenes: ascending for Shishper, descending for Khurdopin and Passu) so that viewing geometry is constant.</w:t>
      </w:r>
    </w:p>
    <w:p>
      <w:pPr>
        <w:keepNext/>
        <w:spacing w:after="4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3180"/>
        <w:gridCol w:w="1734"/>
        <w:gridCol w:w="1060"/>
        <w:gridCol w:w="2026"/>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w:t>
            </w:r>
          </w:p>
        </w:tc>
        <w:tc>
          <w:tcPr>
            <w:tcW w:type="dxa" w:w="318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Earth Engine collection</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Bands used</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Resolution</w:t>
            </w:r>
          </w:p>
        </w:tc>
        <w:tc>
          <w:tcPr>
            <w:tcW w:type="dxa" w:w="202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5"/>
                <w:szCs w:val="15"/>
              </w:rPr>
              <w:t xml:space="preserve">Role</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GRD </w:t>
            </w:r>
            <w:r>
              <w:rPr>
                <w:rFonts w:ascii="Times New Roman" w:cs="Times New Roman" w:eastAsia="Times New Roman" w:hAnsi="Times New Roman"/>
                <w:b w:val="false"/>
                <w:bCs w:val="false"/>
                <w:sz w:val="15"/>
                <w:szCs w:val="15"/>
              </w:rPr>
              <w:t xml:space="preserve">[10]</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COPERNICUS/S1_GRD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VV, VH (dB), IW mode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Cloud-independent water signal</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L1C </w:t>
            </w:r>
            <w:r>
              <w:rPr>
                <w:rFonts w:ascii="Times New Roman" w:cs="Times New Roman" w:eastAsia="Times New Roman" w:hAnsi="Times New Roman"/>
                <w:b w:val="false"/>
                <w:bCs w:val="false"/>
                <w:sz w:val="15"/>
                <w:szCs w:val="15"/>
              </w:rPr>
              <w:t xml:space="preserve">[11]</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COPERNICUS/S2_HARMONIZED</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B2, B3, B4, B8 (TOA reflectance)</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Optical bands, NDWI, labels</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S2 cloud probability </w:t>
            </w:r>
            <w:r>
              <w:rPr>
                <w:rFonts w:ascii="Times New Roman" w:cs="Times New Roman" w:eastAsia="Times New Roman" w:hAnsi="Times New Roman"/>
                <w:b w:val="false"/>
                <w:bCs w:val="false"/>
                <w:sz w:val="15"/>
                <w:szCs w:val="15"/>
              </w:rPr>
              <w:t xml:space="preserve">[12]</w:t>
            </w:r>
          </w:p>
        </w:tc>
        <w:tc>
          <w:tcPr>
            <w:tcW w:type="dxa" w:w="318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COPERNICUS/S2_CLOUD_PROBABILITY</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probability (%)</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10 m (from 20 m)</w:t>
            </w:r>
          </w:p>
        </w:tc>
        <w:tc>
          <w:tcPr>
            <w:tcW w:type="dxa" w:w="202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Cloud mask (not a label)</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Copernicus DEM </w:t>
            </w:r>
            <w:r>
              <w:rPr>
                <w:rFonts w:ascii="Times New Roman" w:cs="Times New Roman" w:eastAsia="Times New Roman" w:hAnsi="Times New Roman"/>
                <w:b w:val="false"/>
                <w:bCs w:val="false"/>
                <w:sz w:val="15"/>
                <w:szCs w:val="15"/>
              </w:rPr>
              <w:t xml:space="preserve">[13]</w:t>
            </w:r>
          </w:p>
        </w:tc>
        <w:tc>
          <w:tcPr>
            <w:tcW w:type="dxa" w:w="318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COPERNICUS/DEM/GLO30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Elevation; slope (derived)</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30 m → 10 m</w:t>
            </w:r>
          </w:p>
        </w:tc>
        <w:tc>
          <w:tcPr>
            <w:tcW w:type="dxa" w:w="202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5"/>
                <w:szCs w:val="15"/>
              </w:rPr>
              <w:t xml:space="preserve">Terrain channels; slope rule; hazard feature</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2) Temporal sampling:</w:t>
      </w:r>
    </w:p>
    <w:p>
      <w:pPr>
        <w:spacing w:after="100" w:line="264"/>
        <w:ind w:firstLine="284"/>
        <w:jc w:val="both"/>
      </w:pPr>
      <w:r>
        <w:rPr>
          <w:rFonts w:ascii="Times New Roman" w:cs="Times New Roman" w:eastAsia="Times New Roman" w:hAnsi="Times New Roman"/>
        </w:rPr>
        <w:t xml:space="preserve">Sentinel-2 revisits about every five days and Sentinel-1 every 6–12 days, so daily data do not exist. Instead, every acquisition is taken inside the windows of </w:t>
      </w:r>
      <w:r>
        <w:rPr>
          <w:rFonts w:ascii="Times New Roman" w:cs="Times New Roman" w:eastAsia="Times New Roman" w:hAnsi="Times New Roman"/>
        </w:rPr>
        <w:t xml:space="preserve">Table IV</w:t>
      </w:r>
      <w:r>
        <w:rPr>
          <w:rFonts w:ascii="Times New Roman" w:cs="Times New Roman" w:eastAsia="Times New Roman" w:hAnsi="Times New Roman"/>
        </w:rPr>
        <w:t xml:space="preserve">: a dense window from 90 days before to 45 days after each documented event, and ±15-day windows around each event's calendar date (7 May, 29 May and 21 July) in every year from 2017 to 2022. The same windows are applied to all three sites, so each site has observations in every event period and in the same season of years without an event. Every Sentinel-2 day whose mosaic covers at least 95% of the site box is downloaded and paired with the nearest Sentinel-1 scene within ±6 days; Sentinel-1 days without a Sentinel-2 acquisition are downloaded as radar-only dates. This yields 730 dates (</w:t>
      </w:r>
      <w:r>
        <w:rPr>
          <w:rFonts w:ascii="Times New Roman" w:cs="Times New Roman" w:eastAsia="Times New Roman" w:hAnsi="Times New Roman"/>
        </w:rPr>
        <w:t xml:space="preserve">Fig. 4</w:t>
      </w:r>
      <w:r>
        <w:rPr>
          <w:rFonts w:ascii="Times New Roman" w:cs="Times New Roman" w:eastAsia="Times New Roman" w:hAnsi="Times New Roman"/>
        </w:rPr>
        <w:t xml:space="preserve">, </w:t>
      </w:r>
      <w:r>
        <w:rPr>
          <w:rFonts w:ascii="Times New Roman" w:cs="Times New Roman" w:eastAsia="Times New Roman" w:hAnsi="Times New Roman"/>
        </w:rPr>
        <w:t xml:space="preserve">Table V</w:t>
      </w:r>
      <w:r>
        <w:rPr>
          <w:rFonts w:ascii="Times New Roman" w:cs="Times New Roman" w:eastAsia="Times New Roman" w:hAnsi="Times New Roman"/>
        </w:rPr>
        <w:t xml:space="preserve">). Sentinel-1B failed on 23 December 2021 </w:t>
      </w:r>
      <w:r>
        <w:rPr>
          <w:rFonts w:ascii="Times New Roman" w:cs="Times New Roman" w:eastAsia="Times New Roman" w:hAnsi="Times New Roman"/>
        </w:rPr>
        <w:t xml:space="preserve">[14]</w:t>
      </w:r>
      <w:r>
        <w:rPr>
          <w:rFonts w:ascii="Times New Roman" w:cs="Times New Roman" w:eastAsia="Times New Roman" w:hAnsi="Times New Roman"/>
        </w:rPr>
        <w:t xml:space="preserve">, so radar coverage in 2022 is sparser.</w:t>
      </w:r>
    </w:p>
    <w:p>
      <w:pPr>
        <w:keepNext/>
        <w:spacing w:after="4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z w:val="16"/>
          <w:szCs w:val="16"/>
        </w:rPr>
        <w:t xml:space="preserve">ACQUISITION WINDOWS (IDENTICAL FOR ALL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891"/>
        <w:gridCol w:w="963"/>
        <w:gridCol w:w="3857"/>
      </w:tblGrid>
      <w:tr>
        <w:trPr>
          <w:cantSplit/>
          <w:tblHeader/>
        </w:trPr>
        <w:tc>
          <w:tcPr>
            <w:tcW w:type="dxa" w:w="192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Window</w:t>
            </w:r>
          </w:p>
        </w:tc>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w:t>
            </w:r>
          </w:p>
        </w:tc>
        <w:tc>
          <w:tcPr>
            <w:tcW w:type="dxa" w:w="963"/>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Days</w:t>
            </w:r>
          </w:p>
        </w:tc>
        <w:tc>
          <w:tcPr>
            <w:tcW w:type="dxa" w:w="385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Purpose</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4 Sep 2017</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90 d before / 45 d after drainage onset (21 Jul 2017)</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2020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29 Feb – 5 Aug 2020</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159</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29 May 2020 drainage (merged with anniversary)</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 2022 event</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Feb – 21 Jun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136</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Around the 7 May 2022 GLOF</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(May)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22 Apr – 13 Jun, 2018, 2019, 2021</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 × 53</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May events, no event</w:t>
            </w:r>
          </w:p>
        </w:tc>
      </w:tr>
      <w:tr>
        <w:trPr>
          <w:cantSplit/>
          <w:tblHeader w:val="off"/>
        </w:trPr>
        <w:tc>
          <w:tcPr>
            <w:tcW w:type="dxa" w:w="192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Anniversaries (July)</w:t>
            </w:r>
          </w:p>
        </w:tc>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6 Jul – 5 Aug, 2018, 2019, 2021, 2022</w:t>
            </w:r>
          </w:p>
        </w:tc>
        <w:tc>
          <w:tcPr>
            <w:tcW w:type="dxa" w:w="963"/>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 × 31</w:t>
            </w:r>
          </w:p>
        </w:tc>
        <w:tc>
          <w:tcPr>
            <w:tcW w:type="dxa" w:w="3857"/>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Same season as the July event, no event</w:t>
            </w:r>
          </w:p>
        </w:tc>
      </w:tr>
      <w:tr>
        <w:trPr>
          <w:cantSplit/>
          <w:tblHeader w:val="off"/>
        </w:trPr>
        <w:tc>
          <w:tcPr>
            <w:tcW w:type="dxa" w:w="192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10 windows</w:t>
            </w:r>
          </w:p>
        </w:tc>
        <w:tc>
          <w:tcPr>
            <w:tcW w:type="dxa" w:w="963"/>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714</w:t>
            </w:r>
          </w:p>
        </w:tc>
        <w:tc>
          <w:tcPr>
            <w:tcW w:type="dxa" w:w="3857"/>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Applied identically to all three sites</w:t>
            </w:r>
          </w:p>
        </w:tc>
      </w:tr>
    </w:tbl>
    <w:p>
      <w:pPr>
        <w:spacing w:after="160"/>
      </w:pPr>
    </w:p>
    <w:p>
      <w:pPr>
        <w:keepNext/>
        <w:spacing w:after="60" w:before="120"/>
        <w:jc w:val="center"/>
      </w:pPr>
      <w:r>
        <w:drawing>
          <wp:inline distT="0" distB="0" distL="0" distR="0">
            <wp:extent cx="5852160" cy="3169920"/>
            <wp:effectExtent t="0" r="0" b="0" l="0"/>
            <wp:docPr id="8" name="sampling" descr="Temporal sampling. Top: every acquisition date per site, split into optical (Sentinel-2) and radar-only (Sentinel-1) dates; dashed lines mark the documented events. Bottom: number of dates per site." title="Temporal sampling. Top: every acquisition date per site, s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1699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4. </w:t>
      </w:r>
      <w:r>
        <w:rPr>
          <w:rFonts w:ascii="Times New Roman" w:cs="Times New Roman" w:eastAsia="Times New Roman" w:hAnsi="Times New Roman"/>
          <w:sz w:val="18"/>
          <w:szCs w:val="18"/>
        </w:rPr>
        <w:t xml:space="preserve">Temporal sampling. Top: every acquisition date per site, split into optical (Sentinel-2) and radar-only (Sentinel-1) dates; dashed lines mark the documented events. Bottom: number of dates per site.</w:t>
      </w:r>
    </w:p>
    <w:p>
      <w:pPr>
        <w:pStyle w:val="Heading3"/>
        <w:keepNext/>
        <w:spacing w:after="60" w:before="100"/>
        <w:ind w:firstLine="284"/>
      </w:pPr>
      <w:r>
        <w:rPr>
          <w:rFonts w:ascii="Times New Roman" w:cs="Times New Roman" w:eastAsia="Times New Roman" w:hAnsi="Times New Roman"/>
          <w:i/>
          <w:iCs/>
          <w:sz w:val="21"/>
          <w:szCs w:val="21"/>
        </w:rPr>
        <w:t xml:space="preserve">3) Co-registration:</w:t>
      </w:r>
    </w:p>
    <w:p>
      <w:pPr>
        <w:spacing w:after="100" w:line="264"/>
        <w:ind w:firstLine="284"/>
        <w:jc w:val="both"/>
      </w:pPr>
      <w:r>
        <w:rPr>
          <w:rFonts w:ascii="Times New Roman" w:cs="Times New Roman" w:eastAsia="Times New Roman" w:hAnsi="Times New Roman"/>
        </w:rPr>
        <w:t xml:space="preserve">For each site a 448 × 448 pixel box (4.48 × 4.48 km) centred on the lake point is defined on a 10 m grid in UTM zone 43N (EPSG:32643). All layers are requested from Earth Engine directly on this grid, so the modalities share CRS, transform, resolution and shape by construction. Same-day Sentinel-2 granules and same-pass Sentinel-1 slices are mosaicked. The 30 m DEM is resampled bilinearly (it is therefore not native 10 m terrain); other layers use nearest-neighbour resampling. Slope is computed from the DEM. Arrays are stored as float16 (cloud probability as uint8).</w:t>
      </w:r>
    </w:p>
    <w:p>
      <w:pPr>
        <w:pStyle w:val="Heading3"/>
        <w:keepNext/>
        <w:spacing w:after="60" w:before="100"/>
        <w:ind w:firstLine="284"/>
      </w:pPr>
      <w:r>
        <w:rPr>
          <w:rFonts w:ascii="Times New Roman" w:cs="Times New Roman" w:eastAsia="Times New Roman" w:hAnsi="Times New Roman"/>
          <w:i/>
          <w:iCs/>
          <w:sz w:val="21"/>
          <w:szCs w:val="21"/>
        </w:rPr>
        <w:t xml:space="preserve">4) Cloud masking:</w:t>
      </w:r>
    </w:p>
    <w:p>
      <w:pPr>
        <w:spacing w:after="100" w:line="264"/>
        <w:ind w:firstLine="284"/>
        <w:jc w:val="both"/>
      </w:pPr>
      <w:r>
        <w:rPr>
          <w:rFonts w:ascii="Times New Roman" w:cs="Times New Roman" w:eastAsia="Times New Roman" w:hAnsi="Times New Roman"/>
        </w:rPr>
        <w:t xml:space="preserve">A pixel is treated as cloud when the Sentinel-2 cloud probability </w:t>
      </w:r>
      <w:r>
        <w:rPr>
          <w:rFonts w:ascii="Times New Roman" w:cs="Times New Roman" w:eastAsia="Times New Roman" w:hAnsi="Times New Roman"/>
        </w:rPr>
        <w:t xml:space="preserve">[12]</w:t>
      </w:r>
      <w:r>
        <w:rPr>
          <w:rFonts w:ascii="Times New Roman" w:cs="Times New Roman" w:eastAsia="Times New Roman" w:hAnsi="Times New Roman"/>
        </w:rPr>
        <w:t xml:space="preserve"> is at least 60%. Cloud components smaller than 1,000 pixels (0.1 km²) are discarded because they are mostly false detections on bright rock and snow.</w:t>
      </w:r>
    </w:p>
    <w:p>
      <w:pPr>
        <w:pStyle w:val="Heading3"/>
        <w:keepNext/>
        <w:spacing w:after="60" w:before="100"/>
        <w:ind w:firstLine="284"/>
      </w:pPr>
      <w:r>
        <w:rPr>
          <w:rFonts w:ascii="Times New Roman" w:cs="Times New Roman" w:eastAsia="Times New Roman" w:hAnsi="Times New Roman"/>
          <w:i/>
          <w:iCs/>
          <w:sz w:val="21"/>
          <w:szCs w:val="21"/>
        </w:rPr>
        <w:t xml:space="preserve">5) Automatic label generation:</w:t>
      </w:r>
    </w:p>
    <w:p>
      <w:pPr>
        <w:spacing w:after="100" w:line="264"/>
        <w:ind w:firstLine="284"/>
        <w:jc w:val="both"/>
      </w:pPr>
      <w:r>
        <w:rPr>
          <w:rFonts w:ascii="Times New Roman" w:cs="Times New Roman" w:eastAsia="Times New Roman" w:hAnsi="Times New Roman"/>
        </w:rPr>
        <w:t xml:space="preserve">No source provides lake outlines for the three sites at the event dates, and hand-digitising hundreds of dates was not feasible, so water labels are generated automatically from Sentinel-2 using NDWI </w:t>
      </w:r>
      <w:r>
        <w:rPr>
          <w:rFonts w:ascii="Times New Roman" w:cs="Times New Roman" w:eastAsia="Times New Roman" w:hAnsi="Times New Roman"/>
        </w:rPr>
        <w:t xml:space="preserve">[15]</w:t>
      </w:r>
      <w:r>
        <w:rPr>
          <w:rFonts w:ascii="Times New Roman" w:cs="Times New Roman" w:eastAsia="Times New Roman" w:hAnsi="Times New Roman"/>
        </w:rPr>
        <w:t xml:space="preserve">:</w:t>
      </w:r>
    </w:p>
    <w:p>
      <w:pPr>
        <w:tabs>
          <w:tab w:val="right" w:pos="9638"/>
        </w:tabs>
        <w:spacing w:after="100" w:before="60"/>
        <w:jc w:val="center"/>
      </w:pPr>
      <m:oMath>
        <m:r>
          <m:t xml:space="preserve">NDWI = </m:t>
        </m:r>
        <m:f>
          <m:num>
            <m:r>
              <m:t>G − NIR</m:t>
            </m:r>
          </m:num>
          <m:den>
            <m:r>
              <m:t>G + NIR</m:t>
            </m:r>
          </m:den>
        </m:f>
      </m:oMath>
      <w:r>
        <w:rPr>
          <w:rFonts w:ascii="Times New Roman" w:cs="Times New Roman" w:eastAsia="Times New Roman" w:hAnsi="Times New Roman"/>
        </w:rPr>
        <w:t xml:space="preserve">	(1)</w:t>
      </w:r>
    </w:p>
    <w:p>
      <w:pPr>
        <w:spacing w:after="100" w:line="264"/>
        <w:ind w:firstLine="284"/>
        <w:jc w:val="both"/>
      </w:pPr>
      <w:r>
        <w:rPr>
          <w:rFonts w:ascii="Times New Roman" w:cs="Times New Roman" w:eastAsia="Times New Roman" w:hAnsi="Times New Roman"/>
        </w:rPr>
        <w:t xml:space="preserve">where G and NIR are bands B3 and B8. A pixel is labelled water when NDWI &gt; 0.2, NIR reflectance &lt; 0.12 (excludes snow, ice and cloud), green reflectance &gt; 0.03 (excludes deep shadow) and DEM slope &lt; 20° (excludes steep shadowed cliffs); water components smaller than 50 pixels are removed. Only near-clear images are labelled: at most 10% cloud in the box and at most 40% very bright (snow or haze) pixels. Pixels within 150 m of cloud are marked </w:t>
      </w:r>
      <w:r>
        <w:rPr>
          <w:rFonts w:ascii="Times New Roman" w:cs="Times New Roman" w:eastAsia="Times New Roman" w:hAnsi="Times New Roman"/>
          <w:i/>
          <w:iCs/>
        </w:rPr>
        <w:t xml:space="preserve">ignore</w:t>
      </w:r>
      <w:r>
        <w:rPr>
          <w:rFonts w:ascii="Times New Roman" w:cs="Times New Roman" w:eastAsia="Times New Roman" w:hAnsi="Times New Roman"/>
        </w:rPr>
        <w:t xml:space="preserve"> and excluded from the loss and from scoring. These thresholds were tuned by visual inspection of label overlays after a first version labelled cloud shadows as water. Of 490 optical dates, 191 received labels (</w:t>
      </w:r>
      <w:r>
        <w:rPr>
          <w:rFonts w:ascii="Times New Roman" w:cs="Times New Roman" w:eastAsia="Times New Roman" w:hAnsi="Times New Roman"/>
        </w:rPr>
        <w:t xml:space="preserve">Table V</w:t>
      </w:r>
      <w:r>
        <w:rPr>
          <w:rFonts w:ascii="Times New Roman" w:cs="Times New Roman" w:eastAsia="Times New Roman" w:hAnsi="Times New Roman"/>
        </w:rPr>
        <w:t xml:space="preserve">); </w:t>
      </w:r>
      <w:r>
        <w:rPr>
          <w:rFonts w:ascii="Times New Roman" w:cs="Times New Roman" w:eastAsia="Times New Roman" w:hAnsi="Times New Roman"/>
        </w:rPr>
        <w:t xml:space="preserve">Fig. 5</w:t>
      </w:r>
      <w:r>
        <w:rPr>
          <w:rFonts w:ascii="Times New Roman" w:cs="Times New Roman" w:eastAsia="Times New Roman" w:hAnsi="Times New Roman"/>
        </w:rPr>
        <w:t xml:space="preserve"> shows examples. Frozen or snow-covered lake surfaces are labelled as land, which is a known limitation of this labelling strategy.</w:t>
      </w:r>
    </w:p>
    <w:p>
      <w:pPr>
        <w:keepNext/>
        <w:spacing w:after="60" w:before="120"/>
        <w:jc w:val="center"/>
      </w:pPr>
      <w:r>
        <w:drawing>
          <wp:inline distT="0" distB="0" distL="0" distR="0">
            <wp:extent cx="5852160" cy="3982720"/>
            <wp:effectExtent t="0" r="0" b="0" l="0"/>
            <wp:docPr id="9" name="labels" descr="Examples of automatic labels (blue = water, darkened = cloud buffer, ignored). Shishper lake before the 2022 GLOF, the Khurdopin dammed lake in June 2017, and Borith Lake." title="Examples of automatic labels (blue = water, darkened =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982720"/>
                    </a:xfrm>
                    <a:prstGeom prst="rect">
                      <a:avLst/>
                    </a:prstGeom>
                  </pic:spPr>
                </pic:pic>
              </a:graphicData>
            </a:graphic>
          </wp:inline>
        </w:drawing>
      </w:r>
    </w:p>
    <w:p>
      <w:pPr>
        <w:spacing w:after="180"/>
        <w:jc w:val="both"/>
      </w:pPr>
      <w:r>
        <w:rPr>
          <w:rFonts w:ascii="Times New Roman" w:cs="Times New Roman" w:eastAsia="Times New Roman" w:hAnsi="Times New Roman"/>
          <w:sz w:val="18"/>
          <w:szCs w:val="18"/>
        </w:rPr>
        <w:t xml:space="preserve">Fig. 5. </w:t>
      </w:r>
      <w:r>
        <w:rPr>
          <w:rFonts w:ascii="Times New Roman" w:cs="Times New Roman" w:eastAsia="Times New Roman" w:hAnsi="Times New Roman"/>
          <w:sz w:val="18"/>
          <w:szCs w:val="18"/>
        </w:rPr>
        <w:t xml:space="preserve">Examples of automatic labels (blue = water, darkened = cloud buffer, ignored). Shishper lake before the 2022 GLOF, the Khurdopin dammed lake in June 2017, and Borith Lake.</w:t>
      </w:r>
    </w:p>
    <w:p>
      <w:pPr>
        <w:pStyle w:val="Heading3"/>
        <w:keepNext/>
        <w:spacing w:after="60" w:before="100"/>
        <w:ind w:firstLine="284"/>
      </w:pPr>
      <w:r>
        <w:rPr>
          <w:rFonts w:ascii="Times New Roman" w:cs="Times New Roman" w:eastAsia="Times New Roman" w:hAnsi="Times New Roman"/>
          <w:i/>
          <w:iCs/>
          <w:sz w:val="21"/>
          <w:szCs w:val="21"/>
        </w:rPr>
        <w:t xml:space="preserve">6) Input normalisation:</w:t>
      </w:r>
    </w:p>
    <w:p>
      <w:pPr>
        <w:spacing w:after="100" w:line="264"/>
        <w:ind w:firstLine="284"/>
        <w:jc w:val="both"/>
      </w:pPr>
      <w:r>
        <w:rPr>
          <w:rFonts w:ascii="Times New Roman" w:cs="Times New Roman" w:eastAsia="Times New Roman" w:hAnsi="Times New Roman"/>
        </w:rPr>
        <w:t xml:space="preserve">Each channel is standardised with the mean and standard deviation computed on 60 randomly sampled training images. After standardisation, the optical channels are set to zero (the channel mean) wherever the cloud mask is set and on radar-only dates, and missing values (e.g. no Sentinel-1 scene within ±6 days) are set to zero.</w:t>
      </w:r>
    </w:p>
    <w:p>
      <w:pPr>
        <w:pStyle w:val="Heading3"/>
        <w:keepNext/>
        <w:spacing w:after="60" w:before="100"/>
        <w:ind w:firstLine="284"/>
      </w:pPr>
      <w:r>
        <w:rPr>
          <w:rFonts w:ascii="Times New Roman" w:cs="Times New Roman" w:eastAsia="Times New Roman" w:hAnsi="Times New Roman"/>
          <w:i/>
          <w:iCs/>
          <w:sz w:val="21"/>
          <w:szCs w:val="21"/>
        </w:rPr>
        <w:t xml:space="preserve">7) Train / test split:</w:t>
      </w:r>
    </w:p>
    <w:p>
      <w:pPr>
        <w:spacing w:after="100" w:line="264"/>
        <w:ind w:firstLine="284"/>
        <w:jc w:val="both"/>
      </w:pPr>
      <w:r>
        <w:rPr>
          <w:rFonts w:ascii="Times New Roman" w:cs="Times New Roman" w:eastAsia="Times New Roman" w:hAnsi="Times New Roman"/>
        </w:rPr>
        <w:t xml:space="preserve">Neighbouring dates of the same lake are nearly identical, so a random split would leak information. The split is therefore by year: labelled dates from 2019 and 2021 form the test set (54 images) and those from 2017, 2018, 2020 and 2022 form the training set (137 images; </w:t>
      </w:r>
      <w:r>
        <w:rPr>
          <w:rFonts w:ascii="Times New Roman" w:cs="Times New Roman" w:eastAsia="Times New Roman" w:hAnsi="Times New Roman"/>
        </w:rPr>
        <w:t xml:space="preserve">Table V</w:t>
      </w:r>
      <w:r>
        <w:rPr>
          <w:rFonts w:ascii="Times New Roman" w:cs="Times New Roman" w:eastAsia="Times New Roman" w:hAnsi="Times New Roman"/>
        </w:rPr>
        <w:t xml:space="preserve">). No separate validation set is used: hyper-parameters were fixed in advance, the learning-rate schedule is fixed, and no early stopping or model selection is performed, so the test years are never used for any training decision.</w:t>
      </w:r>
    </w:p>
    <w:p>
      <w:pPr>
        <w:keepNext/>
        <w:spacing w:after="40" w:before="160"/>
        <w:jc w:val="center"/>
      </w:pPr>
      <w:r>
        <w:rPr>
          <w:rFonts w:ascii="Times New Roman" w:cs="Times New Roman" w:eastAsia="Times New Roman" w:hAnsi="Times New Roman"/>
          <w:sz w:val="18"/>
          <w:szCs w:val="18"/>
        </w:rPr>
        <w:t xml:space="preserve">TABLE V</w:t>
      </w:r>
    </w:p>
    <w:p>
      <w:pPr>
        <w:keepNext/>
        <w:spacing w:after="80"/>
        <w:jc w:val="center"/>
      </w:pPr>
      <w:r>
        <w:rPr>
          <w:rFonts w:ascii="Times New Roman" w:cs="Times New Roman" w:eastAsia="Times New Roman" w:hAnsi="Times New Roman"/>
          <w:sz w:val="16"/>
          <w:szCs w:val="16"/>
        </w:rPr>
        <w:t xml:space="preserve">DATASET COMPOSITION AND YEAR-WISE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156"/>
        <w:gridCol w:w="1734"/>
        <w:gridCol w:w="1156"/>
        <w:gridCol w:w="2120"/>
        <w:gridCol w:w="1834"/>
      </w:tblGrid>
      <w:tr>
        <w:trPr>
          <w:cantSplit/>
          <w:tblHeader/>
        </w:trPr>
        <w:tc>
          <w:tcPr>
            <w:tcW w:type="dxa" w:w="163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Site</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Dates (all)</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Optical / radar-only</w:t>
            </w:r>
          </w:p>
        </w:tc>
        <w:tc>
          <w:tcPr>
            <w:tcW w:type="dxa" w:w="1156"/>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Labelled</w:t>
            </w:r>
          </w:p>
        </w:tc>
        <w:tc>
          <w:tcPr>
            <w:tcW w:type="dxa" w:w="212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Train (2017, 2018, 2020, 2022)</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center"/>
            </w:pPr>
            <w:r>
              <w:rPr>
                <w:rFonts w:ascii="Times New Roman" w:cs="Times New Roman" w:eastAsia="Times New Roman" w:hAnsi="Times New Roman"/>
                <w:b/>
                <w:bCs/>
                <w:sz w:val="16"/>
                <w:szCs w:val="16"/>
              </w:rPr>
              <w:t xml:space="preserve">Test (2019, 2021)</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Shishper</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215</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94</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Khurdopin</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313</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248 / 65</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99</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26</w:t>
            </w:r>
          </w:p>
        </w:tc>
      </w:tr>
      <w:tr>
        <w:trPr>
          <w:cantSplit/>
          <w:tblHeader w:val="off"/>
        </w:trPr>
        <w:tc>
          <w:tcPr>
            <w:tcW w:type="dxa" w:w="1638"/>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Passu (Borith)</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202</w:t>
            </w:r>
          </w:p>
        </w:tc>
        <w:tc>
          <w:tcPr>
            <w:tcW w:type="dxa" w:w="17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121 / 81</w:t>
            </w:r>
          </w:p>
        </w:tc>
        <w:tc>
          <w:tcPr>
            <w:tcW w:type="dxa" w:w="1156"/>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52</w:t>
            </w:r>
          </w:p>
        </w:tc>
        <w:tc>
          <w:tcPr>
            <w:tcW w:type="dxa" w:w="2120"/>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37</w:t>
            </w:r>
          </w:p>
        </w:tc>
        <w:tc>
          <w:tcPr>
            <w:tcW w:type="dxa" w:w="1834"/>
            <w:tcBorders>
              <w:top w:val="none" w:color="FFFFFF" w:sz="0"/>
              <w:left w:val="none" w:color="FFFFFF" w:sz="0"/>
              <w:bottom w:val="none" w:color="FFFFFF" w:sz="0"/>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15</w:t>
            </w:r>
          </w:p>
        </w:tc>
      </w:tr>
      <w:tr>
        <w:trPr>
          <w:cantSplit/>
          <w:tblHeader w:val="off"/>
        </w:trPr>
        <w:tc>
          <w:tcPr>
            <w:tcW w:type="dxa" w:w="163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Total</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730</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490 / 240</w:t>
            </w:r>
          </w:p>
        </w:tc>
        <w:tc>
          <w:tcPr>
            <w:tcW w:type="dxa" w:w="1156"/>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191</w:t>
            </w:r>
          </w:p>
        </w:tc>
        <w:tc>
          <w:tcPr>
            <w:tcW w:type="dxa" w:w="2120"/>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137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center"/>
            </w:pPr>
            <w:r>
              <w:rPr>
                <w:rFonts w:ascii="Times New Roman" w:cs="Times New Roman" w:eastAsia="Times New Roman" w:hAnsi="Times New Roman"/>
                <w:b w:val="false"/>
                <w:bCs w:val="false"/>
                <w:sz w:val="16"/>
                <w:szCs w:val="16"/>
              </w:rPr>
              <w:t xml:space="preserve">54</w:t>
            </w:r>
          </w:p>
        </w:tc>
      </w:tr>
    </w:tbl>
    <w:p>
      <w:pPr>
        <w:spacing w:after="160"/>
      </w:pPr>
    </w:p>
    <w:p>
      <w:pPr>
        <w:pStyle w:val="Heading3"/>
        <w:keepNext/>
        <w:spacing w:after="60" w:before="100"/>
        <w:ind w:firstLine="284"/>
      </w:pPr>
      <w:r>
        <w:rPr>
          <w:rFonts w:ascii="Times New Roman" w:cs="Times New Roman" w:eastAsia="Times New Roman" w:hAnsi="Times New Roman"/>
          <w:i/>
          <w:iCs/>
          <w:sz w:val="21"/>
          <w:szCs w:val="21"/>
        </w:rPr>
        <w:t xml:space="preserve">8) Augmentation:</w:t>
      </w:r>
    </w:p>
    <w:p>
      <w:pPr>
        <w:spacing w:after="100" w:line="264"/>
        <w:ind w:firstLine="284"/>
        <w:jc w:val="both"/>
      </w:pPr>
      <w:r>
        <w:rPr>
          <w:rFonts w:ascii="Times New Roman" w:cs="Times New Roman" w:eastAsia="Times New Roman" w:hAnsi="Times New Roman"/>
        </w:rPr>
        <w:t xml:space="preserve">Training uses 128 × 128 crops from the full site images — half of them centred on a random lake-water pixel (Section III-D) — with random horizontal and vertical flips. The fusion model additionally uses optical-channel dropout (Section III-B). Rotations by arbitrary angles are not used because SAR geometry depends on the look direction.</w:t>
      </w:r>
    </w:p>
    <w:p>
      <w:pPr>
        <w:pStyle w:val="Heading2"/>
        <w:keepNext/>
        <w:spacing w:after="80" w:before="160"/>
      </w:pPr>
      <w:r>
        <w:rPr>
          <w:rFonts w:ascii="Times New Roman" w:cs="Times New Roman" w:eastAsia="Times New Roman" w:hAnsi="Times New Roman"/>
          <w:i/>
          <w:iCs/>
          <w:sz w:val="22"/>
          <w:szCs w:val="22"/>
        </w:rPr>
        <w:t xml:space="preserve">D. Training Configuration</w:t>
      </w:r>
    </w:p>
    <w:p>
      <w:pPr>
        <w:spacing w:after="100" w:line="264"/>
        <w:ind w:firstLine="284"/>
        <w:jc w:val="both"/>
      </w:pPr>
      <w:r>
        <w:rPr>
          <w:rFonts w:ascii="Times New Roman" w:cs="Times New Roman" w:eastAsia="Times New Roman" w:hAnsi="Times New Roman"/>
        </w:rPr>
        <w:t xml:space="preserve">All three models use the configuration in </w:t>
      </w:r>
      <w:r>
        <w:rPr>
          <w:rFonts w:ascii="Times New Roman" w:cs="Times New Roman" w:eastAsia="Times New Roman" w:hAnsi="Times New Roman"/>
        </w:rPr>
        <w:t xml:space="preserve">Table VI</w:t>
      </w:r>
      <w:r>
        <w:rPr>
          <w:rFonts w:ascii="Times New Roman" w:cs="Times New Roman" w:eastAsia="Times New Roman" w:hAnsi="Times New Roman"/>
        </w:rPr>
        <w:t xml:space="preserve">. The loss combines binary cross-entropy and soft Dice and is computed only over valid (non-ignored) pixels; with p the predicted probability, y the label and m the validity mask:</w:t>
      </w:r>
    </w:p>
    <w:p>
      <w:pPr>
        <w:tabs>
          <w:tab w:val="right" w:pos="9638"/>
        </w:tabs>
        <w:spacing w:after="100" w:before="60"/>
        <w:jc w:val="center"/>
      </w:pPr>
      <m:oMath>
        <m:r>
          <m:t xml:space="preserve">ℒ = </m:t>
        </m:r>
        <m:f>
          <m:num>
            <m:r>
              <m:t>Σ m·BCE(p, y)</m:t>
            </m:r>
          </m:num>
          <m:den>
            <m:r>
              <m:t>N</m:t>
            </m:r>
          </m:den>
        </m:f>
        <m:r>
          <m:t xml:space="preserve"> + 1 − </m:t>
        </m:r>
        <m:f>
          <m:num>
            <m:r>
              <m:t>2 Σ m·p·y + 1</m:t>
            </m:r>
          </m:num>
          <m:den>
            <m:r>
              <m:t>Σ m·p + Σ m·y + 1</m:t>
            </m:r>
          </m:den>
        </m:f>
      </m:oMath>
      <w:r>
        <w:rPr>
          <w:rFonts w:ascii="Times New Roman" w:cs="Times New Roman" w:eastAsia="Times New Roman" w:hAnsi="Times New Roman"/>
        </w:rPr>
        <w:t xml:space="preserve">	(2)</w:t>
      </w:r>
    </w:p>
    <w:p>
      <w:pPr>
        <w:spacing w:after="100" w:line="264"/>
        <w:ind w:firstLine="284"/>
        <w:jc w:val="both"/>
      </w:pPr>
      <w:r>
        <w:rPr>
          <w:rFonts w:ascii="Times New Roman" w:cs="Times New Roman" w:eastAsia="Times New Roman" w:hAnsi="Times New Roman"/>
        </w:rPr>
        <w:t xml:space="preserve">The Dice term counteracts the strong class imbalance (lake water occupies a few percent of each image), while the cross-entropy term provides stable per-pixel gradients. Training stability is supported by ImageNet initialisation, cosine learning-rate annealing, which lowers the step size smoothly towards the end of training, the masked loss, which prevents cloud pixels with unreliable labels from producing gradients, and data augmentation. Optical-channel dropout also acts as a regulariser that prevents the fusion model from relying on NDWI alone.</w:t>
      </w:r>
    </w:p>
    <w:p>
      <w:pPr>
        <w:spacing w:after="100" w:line="264"/>
        <w:ind w:firstLine="284"/>
        <w:jc w:val="both"/>
      </w:pPr>
      <w:r>
        <w:rPr>
          <w:rFonts w:ascii="Times New Roman" w:cs="Times New Roman" w:eastAsia="Times New Roman" w:hAnsi="Times New Roman"/>
          <w:b/>
          <w:bCs/>
        </w:rPr>
        <w:t xml:space="preserve">Balanced sampling and seeds.</w:t>
      </w:r>
      <w:r>
        <w:rPr>
          <w:rFonts w:ascii="Times New Roman" w:cs="Times New Roman" w:eastAsia="Times New Roman" w:hAnsi="Times New Roman"/>
        </w:rPr>
        <w:t xml:space="preserve"> In preliminary single-seed runs, models sometimes converged to predicting no water anywhere — lake water covers well under 1% of the pixels and most random crops contain none — and results changed substantially between otherwise identical runs. We therefore centre half of the training crops on a randomly chosen lake-water pixel (</w:t>
      </w:r>
      <w:r>
        <w:rPr>
          <w:rFonts w:ascii="Times New Roman" w:cs="Times New Roman" w:eastAsia="Times New Roman" w:hAnsi="Times New Roman"/>
          <w:i/>
          <w:iCs/>
        </w:rPr>
        <w:t xml:space="preserve">balanced crop sampling</w:t>
      </w:r>
      <w:r>
        <w:rPr>
          <w:rFonts w:ascii="Times New Roman" w:cs="Times New Roman" w:eastAsia="Times New Roman" w:hAnsi="Times New Roman"/>
        </w:rPr>
        <w:t xml:space="preserve">; 74 of the 137 training images contain water) and train every model with three seeds. Each seed has its own random-number generator, so the batches seen by one model do not depend on which models were trained before it. Results are reported as mean ± standard deviation across seeds, and the mean predicted probability of the three fusion seeds (an ensemble) is used for the time series.</w:t>
      </w:r>
    </w:p>
    <w:p>
      <w:pPr>
        <w:keepNext/>
        <w:spacing w:after="4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z w:val="16"/>
          <w:szCs w:val="16"/>
        </w:rPr>
        <w:t xml:space="preserve">TRAINING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Setting</w:t>
            </w:r>
          </w:p>
        </w:tc>
        <w:tc>
          <w:tcPr>
            <w:tcW w:type="dxa" w:w="6747"/>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Value</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Framework</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PyTorch </w:t>
            </w:r>
            <w:r>
              <w:rPr>
                <w:rFonts w:ascii="Times New Roman" w:cs="Times New Roman" w:eastAsia="Times New Roman" w:hAnsi="Times New Roman"/>
                <w:b w:val="false"/>
                <w:bCs w:val="false"/>
                <w:sz w:val="16"/>
                <w:szCs w:val="16"/>
              </w:rPr>
              <w:t xml:space="preserve">[16]</w:t>
            </w:r>
            <w:r>
              <w:rPr>
                <w:rFonts w:ascii="Times New Roman" w:cs="Times New Roman" w:eastAsia="Times New Roman" w:hAnsi="Times New Roman"/>
                <w:b w:val="false"/>
                <w:bCs w:val="false"/>
                <w:sz w:val="16"/>
                <w:szCs w:val="16"/>
              </w:rPr>
              <w:t xml:space="preserve"> + segmentation-models-pytorch </w:t>
            </w:r>
            <w:r>
              <w:rPr>
                <w:rFonts w:ascii="Times New Roman" w:cs="Times New Roman" w:eastAsia="Times New Roman" w:hAnsi="Times New Roman"/>
                <w:b w:val="false"/>
                <w:bCs w:val="false"/>
                <w:sz w:val="16"/>
                <w:szCs w:val="16"/>
              </w:rPr>
              <w:t xml:space="preserve">[9]</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Architecture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U-Net, ResNet-18 encoder (ImageNet weights </w:t>
            </w:r>
            <w:r>
              <w:rPr>
                <w:rFonts w:ascii="Times New Roman" w:cs="Times New Roman" w:eastAsia="Times New Roman" w:hAnsi="Times New Roman"/>
                <w:b w:val="false"/>
                <w:bCs w:val="false"/>
                <w:sz w:val="16"/>
                <w:szCs w:val="16"/>
              </w:rPr>
              <w:t xml:space="preserve">[8]</w:t>
            </w:r>
            <w:r>
              <w:rPr>
                <w:rFonts w:ascii="Times New Roman" w:cs="Times New Roman" w:eastAsia="Times New Roman" w:hAnsi="Times New Roman"/>
                <w:b w:val="false"/>
                <w:bCs w:val="false"/>
                <w:sz w:val="16"/>
                <w:szCs w:val="16"/>
              </w:rPr>
              <w:t xml:space="preserve">), 1 output channel</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Input channels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 (optical-only) / 4 (radar-only) / 9 (fusion)</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Training input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128 × 128 crops of the 448 × 448 site images: 50% centred on a random lake-water pixel (balanced sampling), 50% random</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Batch size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16</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Iterations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3,000 on GPU (≈ 29 epoch-equivalents of 137 images); 1,500 if run on CPU</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Optimiser</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Adam </w:t>
            </w:r>
            <w:r>
              <w:rPr>
                <w:rFonts w:ascii="Times New Roman" w:cs="Times New Roman" w:eastAsia="Times New Roman" w:hAnsi="Times New Roman"/>
                <w:b w:val="false"/>
                <w:bCs w:val="false"/>
                <w:sz w:val="16"/>
                <w:szCs w:val="16"/>
              </w:rPr>
              <w:t xml:space="preserve">[17]</w:t>
            </w:r>
            <w:r>
              <w:rPr>
                <w:rFonts w:ascii="Times New Roman" w:cs="Times New Roman" w:eastAsia="Times New Roman" w:hAnsi="Times New Roman"/>
                <w:b w:val="false"/>
                <w:bCs w:val="false"/>
                <w:sz w:val="16"/>
                <w:szCs w:val="16"/>
              </w:rPr>
              <w:t xml:space="preserve">, initial learning rate 1 × 10⁻³, no weight decay</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LR schedule</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Cosine annealing to 0 over all iterations </w:t>
            </w:r>
            <w:r>
              <w:rPr>
                <w:rFonts w:ascii="Times New Roman" w:cs="Times New Roman" w:eastAsia="Times New Roman" w:hAnsi="Times New Roman"/>
                <w:b w:val="false"/>
                <w:bCs w:val="false"/>
                <w:sz w:val="16"/>
                <w:szCs w:val="16"/>
              </w:rPr>
              <w:t xml:space="preserve">[18]</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Loss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Masked binary cross-entropy + soft Dice </w:t>
            </w:r>
            <w:r>
              <w:rPr>
                <w:rFonts w:ascii="Times New Roman" w:cs="Times New Roman" w:eastAsia="Times New Roman" w:hAnsi="Times New Roman"/>
                <w:b w:val="false"/>
                <w:bCs w:val="false"/>
                <w:sz w:val="16"/>
                <w:szCs w:val="16"/>
              </w:rPr>
              <w:t xml:space="preserve">[19]</w:t>
            </w:r>
            <w:r>
              <w:rPr>
                <w:rFonts w:ascii="Times New Roman" w:cs="Times New Roman" w:eastAsia="Times New Roman" w:hAnsi="Times New Roman"/>
                <w:b w:val="false"/>
                <w:bCs w:val="false"/>
                <w:sz w:val="16"/>
                <w:szCs w:val="16"/>
              </w:rPr>
              <w:t xml:space="preserve"> (cloud pixels ignored)</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Augmentation</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horizontal and vertical flips (p = 0.5 each)</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Optical-channel dropout</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Fusion only: all 5 optical channels zeroed for 30% of crops</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Decision threshold</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0.5 on the sigmoid output</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Random seeds</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3 per model (0, 1, 2); PyTorch seed and a separate NumPy generator per seed</w:t>
            </w:r>
          </w:p>
        </w:tc>
      </w:tr>
      <w:tr>
        <w:trPr>
          <w:cantSplit/>
          <w:tblHeader w:val="off"/>
        </w:trPr>
        <w:tc>
          <w:tcPr>
            <w:tcW w:type="dxa" w:w="2891"/>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Time-series prediction</w:t>
            </w:r>
          </w:p>
        </w:tc>
        <w:tc>
          <w:tcPr>
            <w:tcW w:type="dxa" w:w="6747"/>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Fusion model, mean probability of its 3 seeds (ensemble)</w:t>
            </w:r>
          </w:p>
        </w:tc>
      </w:tr>
      <w:tr>
        <w:trPr>
          <w:cantSplit/>
          <w:tblHeader w:val="off"/>
        </w:trPr>
        <w:tc>
          <w:tcPr>
            <w:tcW w:type="dxa" w:w="2891"/>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Hardware</w:t>
            </w:r>
          </w:p>
        </w:tc>
        <w:tc>
          <w:tcPr>
            <w:tcW w:type="dxa" w:w="6747"/>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Google Colab, NVIDIA Tesla T4 GPU (16 GB)</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E. Evaluation Metrics</w:t>
      </w:r>
    </w:p>
    <w:p>
      <w:pPr>
        <w:pStyle w:val="Heading3"/>
        <w:keepNext/>
        <w:spacing w:after="60" w:before="100"/>
        <w:ind w:firstLine="284"/>
      </w:pPr>
      <w:r>
        <w:rPr>
          <w:rFonts w:ascii="Times New Roman" w:cs="Times New Roman" w:eastAsia="Times New Roman" w:hAnsi="Times New Roman"/>
          <w:i/>
          <w:iCs/>
          <w:sz w:val="21"/>
          <w:szCs w:val="21"/>
        </w:rPr>
        <w:t xml:space="preserve">1) Segmentation:</w:t>
      </w:r>
    </w:p>
    <w:p>
      <w:pPr>
        <w:spacing w:after="100" w:line="264"/>
        <w:ind w:firstLine="284"/>
        <w:jc w:val="both"/>
      </w:pPr>
      <w:r>
        <w:rPr>
          <w:rFonts w:ascii="Times New Roman" w:cs="Times New Roman" w:eastAsia="Times New Roman" w:hAnsi="Times New Roman"/>
        </w:rPr>
        <w:t xml:space="preserve">Predictions are evaluated on the valid (non-cloud) pixels of the test images using intersection-over-union (IoU), F1-score (Dice), precision and recall, with TP, FP and FN the numbers of true-positive, false-positive and false-negative water pixels:</w:t>
      </w:r>
    </w:p>
    <w:p>
      <w:pPr>
        <w:tabs>
          <w:tab w:val="right" w:pos="9638"/>
        </w:tabs>
        <w:spacing w:after="100" w:before="60"/>
        <w:jc w:val="center"/>
      </w:pPr>
      <m:oMath>
        <m:r>
          <m:t xml:space="preserve">IoU = </m:t>
        </m:r>
        <m:f>
          <m:num>
            <m:r>
              <m:t>TP</m:t>
            </m:r>
          </m:num>
          <m:den>
            <m:r>
              <m:t>TP + FP + FN</m:t>
            </m:r>
          </m:den>
        </m:f>
        <m:r>
          <m:t xml:space="preserve">,   F1 = </m:t>
        </m:r>
        <m:f>
          <m:num>
            <m:r>
              <m:t>2TP</m:t>
            </m:r>
          </m:num>
          <m:den>
            <m:r>
              <m:t>2TP + FP + FN</m:t>
            </m:r>
          </m:den>
        </m:f>
      </m:oMath>
      <w:r>
        <w:rPr>
          <w:rFonts w:ascii="Times New Roman" w:cs="Times New Roman" w:eastAsia="Times New Roman" w:hAnsi="Times New Roman"/>
        </w:rPr>
        <w:t xml:space="preserve">	(3)</w:t>
      </w:r>
    </w:p>
    <w:p>
      <w:pPr>
        <w:tabs>
          <w:tab w:val="right" w:pos="9638"/>
        </w:tabs>
        <w:spacing w:after="100" w:before="60"/>
        <w:jc w:val="center"/>
      </w:pPr>
      <m:oMath>
        <m:r>
          <m:t xml:space="preserve">Precision = </m:t>
        </m:r>
        <m:f>
          <m:num>
            <m:r>
              <m:t>TP</m:t>
            </m:r>
          </m:num>
          <m:den>
            <m:r>
              <m:t>TP + FP</m:t>
            </m:r>
          </m:den>
        </m:f>
        <m:r>
          <m:t xml:space="preserve">,   Recall = </m:t>
        </m:r>
        <m:f>
          <m:num>
            <m:r>
              <m:t>TP</m:t>
            </m:r>
          </m:num>
          <m:den>
            <m:r>
              <m:t>TP + FN</m:t>
            </m:r>
          </m:den>
        </m:f>
      </m:oMath>
      <w:r>
        <w:rPr>
          <w:rFonts w:ascii="Times New Roman" w:cs="Times New Roman" w:eastAsia="Times New Roman" w:hAnsi="Times New Roman"/>
        </w:rPr>
        <w:t xml:space="preserve">	(4)</w:t>
      </w:r>
    </w:p>
    <w:p>
      <w:pPr>
        <w:spacing w:after="100" w:line="264"/>
        <w:ind w:firstLine="284"/>
        <w:jc w:val="both"/>
      </w:pPr>
      <w:r>
        <w:rPr>
          <w:rFonts w:ascii="Times New Roman" w:cs="Times New Roman" w:eastAsia="Times New Roman" w:hAnsi="Times New Roman"/>
        </w:rPr>
        <w:t xml:space="preserve">IoU is the standard segmentation metric and directly reflects errors in lake extent, which is the quantity used downstream. F1 is reported for comparability with the literature reviewed in Section II. Precision and recall separate over-detection (e.g. shadows or wet ice classified as water) from under-detection (e.g. turbid or partly frozen lakes). Overall accuracy is not used because it would be dominated by the land class. Many test images contain no lake water (Khurdopin after 2017, Shishper after each drainage); per-image IoU is undefined for them, and averaging it would score a correct "no water" prediction as zero. The main results are therefore </w:t>
      </w:r>
      <w:r>
        <w:rPr>
          <w:rFonts w:ascii="Times New Roman" w:cs="Times New Roman" w:eastAsia="Times New Roman" w:hAnsi="Times New Roman"/>
          <w:b/>
          <w:bCs/>
        </w:rPr>
        <w:t xml:space="preserve">pixel-pooled</w:t>
      </w:r>
      <w:r>
        <w:rPr>
          <w:rFonts w:ascii="Times New Roman" w:cs="Times New Roman" w:eastAsia="Times New Roman" w:hAnsi="Times New Roman"/>
        </w:rPr>
        <w:t xml:space="preserve"> metrics, for which TP, FP and FN are summed over all test pixels of a site (or of all sites) before the metric is computed. Pixel-pooled metrics are computed separately for each training seed and reported as mean ± standard deviation across the three seeds. In addition, per-image metrics are reported as mean ± standard deviation over the test images that contain water (pooled over seeds), and the false-positive area is reported for test images without water.</w:t>
      </w:r>
    </w:p>
    <w:p>
      <w:pPr>
        <w:pStyle w:val="Heading3"/>
        <w:keepNext/>
        <w:spacing w:after="60" w:before="100"/>
        <w:ind w:firstLine="284"/>
      </w:pPr>
      <w:r>
        <w:rPr>
          <w:rFonts w:ascii="Times New Roman" w:cs="Times New Roman" w:eastAsia="Times New Roman" w:hAnsi="Times New Roman"/>
          <w:i/>
          <w:iCs/>
          <w:sz w:val="21"/>
          <w:szCs w:val="21"/>
        </w:rPr>
        <w:t xml:space="preserve">2) Robustness to missing optical data:</w:t>
      </w:r>
    </w:p>
    <w:p>
      <w:pPr>
        <w:spacing w:after="100" w:line="264"/>
        <w:ind w:firstLine="284"/>
        <w:jc w:val="both"/>
      </w:pPr>
      <w:r>
        <w:rPr>
          <w:rFonts w:ascii="Times New Roman" w:cs="Times New Roman" w:eastAsia="Times New Roman" w:hAnsi="Times New Roman"/>
        </w:rPr>
        <w:t xml:space="preserve">To test the cloud-robustness motivation directly, the models are also evaluated after setting all optical channels of the test images to zero (</w:t>
      </w:r>
      <w:r>
        <w:rPr>
          <w:rFonts w:ascii="Times New Roman" w:cs="Times New Roman" w:eastAsia="Times New Roman" w:hAnsi="Times New Roman"/>
          <w:i/>
          <w:iCs/>
        </w:rPr>
        <w:t xml:space="preserve">simulated complete cloud cover</w:t>
      </w:r>
      <w:r>
        <w:rPr>
          <w:rFonts w:ascii="Times New Roman" w:cs="Times New Roman" w:eastAsia="Times New Roman" w:hAnsi="Times New Roman"/>
        </w:rPr>
        <w:t xml:space="preserve">), using the same labels. The optical-only model then receives no information, the fusion model can use SAR and terrain, and the radar-only model is unaffected because it never sees optical data.</w:t>
      </w:r>
    </w:p>
    <w:p>
      <w:pPr>
        <w:pStyle w:val="Heading3"/>
        <w:keepNext/>
        <w:spacing w:after="60" w:before="100"/>
        <w:ind w:firstLine="284"/>
      </w:pPr>
      <w:r>
        <w:rPr>
          <w:rFonts w:ascii="Times New Roman" w:cs="Times New Roman" w:eastAsia="Times New Roman" w:hAnsi="Times New Roman"/>
          <w:i/>
          <w:iCs/>
          <w:sz w:val="21"/>
          <w:szCs w:val="21"/>
        </w:rPr>
        <w:t xml:space="preserve">3) Time series:</w:t>
      </w:r>
    </w:p>
    <w:p>
      <w:pPr>
        <w:spacing w:after="100" w:line="264"/>
        <w:ind w:firstLine="284"/>
        <w:jc w:val="both"/>
      </w:pPr>
      <w:r>
        <w:rPr>
          <w:rFonts w:ascii="Times New Roman" w:cs="Times New Roman" w:eastAsia="Times New Roman" w:hAnsi="Times New Roman"/>
        </w:rPr>
        <w:t xml:space="preserve">The fusion model (mean probability of its three seeds) is applied to all 730 dates. Lake area Aₜ on date t is the number of predicted water pixels in connected components that touch a 400 m neighbourhood of the lake point, multiplied by the pixel area (100 m²); this excludes rivers and other water in the box. Area is smoothed with a centred rolling median over three observations (Ãₜ), and the growth rate is computed over roughly 30 days:</w:t>
      </w:r>
    </w:p>
    <w:p>
      <w:pPr>
        <w:tabs>
          <w:tab w:val="right" w:pos="9638"/>
        </w:tabs>
        <w:spacing w:after="100" w:before="60"/>
        <w:jc w:val="center"/>
      </w:pPr>
      <m:oMath>
        <m:sSub>
          <m:sSubPr/>
          <m:e>
            <m:r>
              <m:t>G</m:t>
            </m:r>
          </m:e>
          <m:sub>
            <m:r>
              <m:t>t</m:t>
            </m:r>
          </m:sub>
        </m:sSub>
        <m:r>
          <m:t xml:space="preserve"> = </m:t>
        </m:r>
        <m:f>
          <m:num>
            <m:sSub>
              <m:sSubPr/>
              <m:e>
                <m:r>
                  <m:t>Ã</m:t>
                </m:r>
              </m:e>
              <m:sub>
                <m:r>
                  <m:t>t</m:t>
                </m:r>
              </m:sub>
            </m:sSub>
            <m:r>
              <m:t xml:space="preserve"> − </m:t>
            </m:r>
            <m:sSub>
              <m:sSubPr/>
              <m:e>
                <m:r>
                  <m:t>Ã</m:t>
                </m:r>
              </m:e>
              <m:sub>
                <m:r>
                  <m:t>t′</m:t>
                </m:r>
              </m:sub>
            </m:sSub>
          </m:num>
          <m:den>
            <m:r>
              <m:t>t − t′</m:t>
            </m:r>
          </m:den>
        </m:f>
        <m:r>
          <m:t xml:space="preserve"> × 30</m:t>
        </m:r>
      </m:oMath>
      <w:r>
        <w:rPr>
          <w:rFonts w:ascii="Times New Roman" w:cs="Times New Roman" w:eastAsia="Times New Roman" w:hAnsi="Times New Roman"/>
        </w:rPr>
        <w:t xml:space="preserve">	(5)</w:t>
      </w:r>
    </w:p>
    <w:p>
      <w:pPr>
        <w:spacing w:after="100" w:line="264"/>
        <w:ind w:firstLine="284"/>
        <w:jc w:val="both"/>
      </w:pPr>
      <w:r>
        <w:rPr>
          <w:rFonts w:ascii="Times New Roman" w:cs="Times New Roman" w:eastAsia="Times New Roman" w:hAnsi="Times New Roman"/>
        </w:rPr>
        <w:t xml:space="preserve">where t′ is the latest date at least 30 days before t; growth is not computed when t − t′ exceeds 60 days (gaps between windows).</w:t>
      </w:r>
    </w:p>
    <w:p>
      <w:pPr>
        <w:pStyle w:val="Heading3"/>
        <w:keepNext/>
        <w:spacing w:after="60" w:before="100"/>
        <w:ind w:firstLine="284"/>
      </w:pPr>
      <w:r>
        <w:rPr>
          <w:rFonts w:ascii="Times New Roman" w:cs="Times New Roman" w:eastAsia="Times New Roman" w:hAnsi="Times New Roman"/>
          <w:i/>
          <w:iCs/>
          <w:sz w:val="21"/>
          <w:szCs w:val="21"/>
        </w:rPr>
        <w:t xml:space="preserve">4) Hazard index:</w:t>
      </w:r>
    </w:p>
    <w:p>
      <w:pPr>
        <w:spacing w:after="100" w:line="264"/>
        <w:ind w:firstLine="284"/>
        <w:jc w:val="both"/>
      </w:pPr>
      <w:r>
        <w:rPr>
          <w:rFonts w:ascii="Times New Roman" w:cs="Times New Roman" w:eastAsia="Times New Roman" w:hAnsi="Times New Roman"/>
        </w:rPr>
        <w:t xml:space="preserve">Following the multi-criteria idea of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[20]</w:t>
      </w:r>
      <w:r>
        <w:rPr>
          <w:rFonts w:ascii="Times New Roman" w:cs="Times New Roman" w:eastAsia="Times New Roman" w:hAnsi="Times New Roman"/>
        </w:rPr>
        <w:t xml:space="preserve"> in a reduced, transparent form, the hazard index combines three features: smoothed lake area, positive growth rate and the mean DEM slope along the lake outline. Each is min–max normalised over all sites and dates to give a, g and s in [0, 1], and the index is their equal-weight mean:</w:t>
      </w:r>
    </w:p>
    <w:p>
      <w:pPr>
        <w:tabs>
          <w:tab w:val="right" w:pos="9638"/>
        </w:tabs>
        <w:spacing w:after="100" w:before="60"/>
        <w:jc w:val="center"/>
      </w:pPr>
      <m:oMath>
        <m:sSub>
          <m:sSubPr/>
          <m:e>
            <m:r>
              <m:t>H</m:t>
            </m:r>
          </m:e>
          <m:sub>
            <m:r>
              <m:t>t</m:t>
            </m:r>
          </m:sub>
        </m:sSub>
        <m:r>
          <m:t xml:space="preserve"> = </m:t>
        </m:r>
        <m:f>
          <m:num>
            <m:sSub>
              <m:sSubPr/>
              <m:e>
                <m:r>
                  <m:t>a</m:t>
                </m:r>
              </m:e>
              <m:sub>
                <m:r>
                  <m:t>t</m:t>
                </m:r>
              </m:sub>
            </m:sSub>
            <m:r>
              <m:t xml:space="preserve"> + </m:t>
            </m:r>
            <m:sSub>
              <m:sSubPr/>
              <m:e>
                <m:r>
                  <m:t>g</m:t>
                </m:r>
              </m:e>
              <m:sub>
                <m:r>
                  <m:t>t</m:t>
                </m:r>
              </m:sub>
            </m:sSub>
            <m:r>
              <m:t xml:space="preserve"> + </m:t>
            </m:r>
            <m:sSub>
              <m:sSubPr/>
              <m:e>
                <m:r>
                  <m:t>s</m:t>
                </m:r>
              </m:e>
              <m:sub>
                <m:r>
                  <m:t>t</m:t>
                </m:r>
              </m:sub>
            </m:sSub>
          </m:num>
          <m:den>
            <m:r>
              <m:t>3</m:t>
            </m:r>
          </m:den>
        </m:f>
      </m:oMath>
      <w:r>
        <w:rPr>
          <w:rFonts w:ascii="Times New Roman" w:cs="Times New Roman" w:eastAsia="Times New Roman" w:hAnsi="Times New Roman"/>
        </w:rPr>
        <w:t xml:space="preserve">	(6)</w:t>
      </w:r>
    </w:p>
    <w:p>
      <w:pPr>
        <w:spacing w:after="100" w:line="264"/>
        <w:ind w:firstLine="284"/>
        <w:jc w:val="both"/>
      </w:pPr>
      <w:r>
        <w:rPr>
          <w:rFonts w:ascii="Times New Roman" w:cs="Times New Roman" w:eastAsia="Times New Roman" w:hAnsi="Times New Roman"/>
        </w:rPr>
        <w:t xml:space="preserve">Equal weights are a modelling assumption, not fitted to the events. For each documented event the index of all three sites is compared over the 90 days before the event date (mean and maximum), and plotted against days relative to the event. This is a retrospective evaluation, not an early-warning system.</w:t>
      </w:r>
    </w:p>
    <w:p>
      <w:pPr>
        <w:pStyle w:val="Heading1"/>
        <w:keepNext/>
        <w:spacing w:after="120" w:before="240"/>
        <w:jc w:val="center"/>
      </w:pPr>
      <w:r>
        <w:rPr>
          <w:rFonts w:ascii="Times New Roman" w:cs="Times New Roman" w:eastAsia="Times New Roman" w:hAnsi="Times New Roman"/>
          <w:sz w:val="22"/>
          <w:szCs w:val="22"/>
        </w:rPr>
        <w:t xml:space="preserve">REFERENCES</w:t>
      </w:r>
    </w:p>
    <w:p>
      <w:pPr>
        <w:tabs>
          <w:tab w:val="left" w:pos="480"/>
        </w:tabs>
        <w:spacing w:after="60"/>
        <w:ind w:left="480" w:hanging="48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O. Ronneberger, P. Fischer, and T. Brox, "U-Net: Convolutional networks for biomedical image segmentation," in </w:t>
      </w:r>
      <w:r>
        <w:rPr>
          <w:rFonts w:ascii="Times New Roman" w:cs="Times New Roman" w:eastAsia="Times New Roman" w:hAnsi="Times New Roman"/>
          <w:i/>
          <w:iCs/>
          <w:sz w:val="17"/>
          <w:szCs w:val="17"/>
        </w:rPr>
        <w:t xml:space="preserve">Proc. MICCAI</w:t>
      </w:r>
      <w:r>
        <w:rPr>
          <w:rFonts w:ascii="Times New Roman" w:cs="Times New Roman" w:eastAsia="Times New Roman" w:hAnsi="Times New Roman"/>
          <w:sz w:val="17"/>
          <w:szCs w:val="17"/>
        </w:rPr>
        <w:t xml:space="preserve">, LNCS vol. 9351, 2015, pp. 234–241.</w:t>
      </w:r>
    </w:p>
    <w:p>
      <w:pPr>
        <w:tabs>
          <w:tab w:val="left" w:pos="480"/>
        </w:tabs>
        <w:spacing w:after="60"/>
        <w:ind w:left="480" w:hanging="48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K. He, X. Zhang, S. Ren, and J. Sun, "Deep residual learning for image recognition,"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2016, pp. 770–778.</w:t>
      </w:r>
    </w:p>
    <w:p>
      <w:pPr>
        <w:tabs>
          <w:tab w:val="left" w:pos="480"/>
        </w:tabs>
        <w:spacing w:after="60"/>
        <w:ind w:left="480" w:hanging="48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202, pp. 18–27, 2017.</w:t>
      </w:r>
    </w:p>
    <w:p>
      <w:pPr>
        <w:tabs>
          <w:tab w:val="left" w:pos="480"/>
        </w:tabs>
        <w:spacing w:after="60"/>
        <w:ind w:left="480" w:hanging="48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G. Khan, 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"Expansion of Shishper Glacier lake and recent glacial lake outburst flood (GLOF), Gilgit-Baltistan, Pakistan," </w:t>
      </w:r>
      <w:r>
        <w:rPr>
          <w:rFonts w:ascii="Times New Roman" w:cs="Times New Roman" w:eastAsia="Times New Roman" w:hAnsi="Times New Roman"/>
          <w:i/>
          <w:iCs/>
          <w:sz w:val="17"/>
          <w:szCs w:val="17"/>
        </w:rPr>
        <w:t xml:space="preserve">Environmental Science and Pollution Research</w:t>
      </w:r>
      <w:r>
        <w:rPr>
          <w:rFonts w:ascii="Times New Roman" w:cs="Times New Roman" w:eastAsia="Times New Roman" w:hAnsi="Times New Roman"/>
          <w:sz w:val="17"/>
          <w:szCs w:val="17"/>
        </w:rPr>
        <w:t xml:space="preserve">, 2021.</w:t>
      </w:r>
    </w:p>
    <w:p>
      <w:pPr>
        <w:tabs>
          <w:tab w:val="left" w:pos="480"/>
        </w:tabs>
        <w:spacing w:after="60"/>
        <w:ind w:left="480" w:hanging="48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S. Ullah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integrated approach for GLOF hazard, vulnerability and risk assessment in the Karakoram Mountain Range of northern Pakistan," </w:t>
      </w:r>
      <w:r>
        <w:rPr>
          <w:rFonts w:ascii="Times New Roman" w:cs="Times New Roman" w:eastAsia="Times New Roman" w:hAnsi="Times New Roman"/>
          <w:i/>
          <w:iCs/>
          <w:sz w:val="17"/>
          <w:szCs w:val="17"/>
        </w:rPr>
        <w:t xml:space="preserve">Journal of Mountain Science</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J. F. Steiner, P. D. A. Kraaijenbrink, S. G. Jiduc, and W. W. Immerzeel, "Brief communication: The Khurdopin glacier surge revisited – extreme flow velocities and formation of a dammed lake in 2017," </w:t>
      </w:r>
      <w:r>
        <w:rPr>
          <w:rFonts w:ascii="Times New Roman" w:cs="Times New Roman" w:eastAsia="Times New Roman" w:hAnsi="Times New Roman"/>
          <w:i/>
          <w:iCs/>
          <w:sz w:val="17"/>
          <w:szCs w:val="17"/>
        </w:rPr>
        <w:t xml:space="preserve">The Cryosphere</w:t>
      </w:r>
      <w:r>
        <w:rPr>
          <w:rFonts w:ascii="Times New Roman" w:cs="Times New Roman" w:eastAsia="Times New Roman" w:hAnsi="Times New Roman"/>
          <w:sz w:val="17"/>
          <w:szCs w:val="17"/>
        </w:rPr>
        <w:t xml:space="preserve">, vol. 12, no. 1, pp. 95–101, 2018, doi: 10.5194/tc-12-95-2018.</w:t>
      </w:r>
    </w:p>
    <w:p>
      <w:pPr>
        <w:tabs>
          <w:tab w:val="left" w:pos="480"/>
        </w:tabs>
        <w:spacing w:after="60"/>
        <w:ind w:left="480" w:hanging="48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"Deep learning model to detect glacial lakes using high-resolution optical and radar satellite images," </w:t>
      </w:r>
      <w:r>
        <w:rPr>
          <w:rFonts w:ascii="Times New Roman" w:cs="Times New Roman" w:eastAsia="Times New Roman" w:hAnsi="Times New Roman"/>
          <w:i/>
          <w:iCs/>
          <w:sz w:val="17"/>
          <w:szCs w:val="17"/>
        </w:rPr>
        <w:t xml:space="preserve">Remote Sensing Applications: Society and Environment</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J. Deng, W. Dong, R. Socher, L.-J. Li, K. Li, and L. Fei-Fei, "ImageNet: A large-scale hierarchical image database," in </w:t>
      </w:r>
      <w:r>
        <w:rPr>
          <w:rFonts w:ascii="Times New Roman" w:cs="Times New Roman" w:eastAsia="Times New Roman" w:hAnsi="Times New Roman"/>
          <w:i/>
          <w:iCs/>
          <w:sz w:val="17"/>
          <w:szCs w:val="17"/>
        </w:rPr>
        <w:t xml:space="preserve">Proc. IEEE CVPR</w:t>
      </w:r>
      <w:r>
        <w:rPr>
          <w:rFonts w:ascii="Times New Roman" w:cs="Times New Roman" w:eastAsia="Times New Roman" w:hAnsi="Times New Roman"/>
          <w:sz w:val="17"/>
          <w:szCs w:val="17"/>
        </w:rPr>
        <w:t xml:space="preserve">, 2009, pp. 248–255.</w:t>
      </w:r>
    </w:p>
    <w:p>
      <w:pPr>
        <w:tabs>
          <w:tab w:val="left" w:pos="480"/>
        </w:tabs>
        <w:spacing w:after="60"/>
        <w:ind w:left="480" w:hanging="48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P. Iakubovskii, "Segmentation Models Pytorch," GitHub repository, 2019. [Online]. Available: https://github.com/qubvel/segmentation_models.pytorch</w:t>
      </w:r>
    </w:p>
    <w:p>
      <w:pPr>
        <w:tabs>
          <w:tab w:val="left" w:pos="480"/>
        </w:tabs>
        <w:spacing w:after="60"/>
        <w:ind w:left="480" w:hanging="48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R. Torres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"GMES Sentinel-1 mission,"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9–24, 2012.</w:t>
      </w:r>
    </w:p>
    <w:p>
      <w:pPr>
        <w:tabs>
          <w:tab w:val="left" w:pos="480"/>
        </w:tabs>
        <w:spacing w:after="60"/>
        <w:ind w:left="480" w:hanging="48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M. Drusch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"Sentinel-2: ESA's optical high-resolution mission for GMES operational services,"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25–36, 2012.</w:t>
      </w:r>
    </w:p>
    <w:p>
      <w:pPr>
        <w:tabs>
          <w:tab w:val="left" w:pos="480"/>
        </w:tabs>
        <w:spacing w:after="60"/>
        <w:ind w:left="480" w:hanging="48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A. Zupanc, "Improving cloud detection with machine learning," Sentinel Hub Blog (s2cloudless), 2017. [Online]. Available: https://medium.com/sentinel-hub/improving-cloud-detection-with-machine-learning-c09dc5d7cf13</w:t>
      </w:r>
    </w:p>
    <w:p>
      <w:pPr>
        <w:tabs>
          <w:tab w:val="left" w:pos="480"/>
        </w:tabs>
        <w:spacing w:after="60"/>
        <w:ind w:left="480" w:hanging="48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European Space Agency, "Copernicus DEM — Global and European Digital Elevation Model (COP-DEM)," 2021, doi: 10.5270/ESA-c5d3d65.</w:t>
      </w:r>
    </w:p>
    <w:p>
      <w:pPr>
        <w:tabs>
          <w:tab w:val="left" w:pos="480"/>
        </w:tabs>
        <w:spacing w:after="60"/>
        <w:ind w:left="480" w:hanging="48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European Space Agency, "Mission ends for Copernicus Sentinel-1B satellite," ESA Applications, Aug. 2022. [Online]. Available: https://www.esa.int</w:t>
      </w:r>
    </w:p>
    <w:p>
      <w:pPr>
        <w:tabs>
          <w:tab w:val="left" w:pos="480"/>
        </w:tabs>
        <w:spacing w:after="60"/>
        <w:ind w:left="480" w:hanging="48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S. K. McFeeters, "The use of the Normalized Difference Water Index (NDWI) in the delineation of open water features," </w:t>
      </w:r>
      <w:r>
        <w:rPr>
          <w:rFonts w:ascii="Times New Roman" w:cs="Times New Roman" w:eastAsia="Times New Roman" w:hAnsi="Times New Roman"/>
          <w:i/>
          <w:iCs/>
          <w:sz w:val="17"/>
          <w:szCs w:val="17"/>
        </w:rPr>
        <w:t xml:space="preserve">International Journal of Remote Sensing</w:t>
      </w:r>
      <w:r>
        <w:rPr>
          <w:rFonts w:ascii="Times New Roman" w:cs="Times New Roman" w:eastAsia="Times New Roman" w:hAnsi="Times New Roman"/>
          <w:sz w:val="17"/>
          <w:szCs w:val="17"/>
        </w:rPr>
        <w:t xml:space="preserve">, vol. 17, no. 7, pp. 1425–1432, 1996.</w:t>
      </w:r>
    </w:p>
    <w:p>
      <w:pPr>
        <w:tabs>
          <w:tab w:val="left" w:pos="480"/>
        </w:tabs>
        <w:spacing w:after="60"/>
        <w:ind w:left="480" w:hanging="48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A. Paszke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"PyTorch: An imperative style, high-performance deep learning library," in </w:t>
      </w:r>
      <w:r>
        <w:rPr>
          <w:rFonts w:ascii="Times New Roman" w:cs="Times New Roman" w:eastAsia="Times New Roman" w:hAnsi="Times New Roman"/>
          <w:i/>
          <w:iCs/>
          <w:sz w:val="17"/>
          <w:szCs w:val="17"/>
        </w:rPr>
        <w:t xml:space="preserve">Advances in Neural Information Processing Systems</w:t>
      </w:r>
      <w:r>
        <w:rPr>
          <w:rFonts w:ascii="Times New Roman" w:cs="Times New Roman" w:eastAsia="Times New Roman" w:hAnsi="Times New Roman"/>
          <w:sz w:val="17"/>
          <w:szCs w:val="17"/>
        </w:rPr>
        <w:t xml:space="preserve">, vol. 32, 2019.</w:t>
      </w:r>
    </w:p>
    <w:p>
      <w:pPr>
        <w:tabs>
          <w:tab w:val="left" w:pos="480"/>
        </w:tabs>
        <w:spacing w:after="60"/>
        <w:ind w:left="480" w:hanging="48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D. P. Kingma and J. Ba, "Adam: A method for stochastic optimization,"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2015.</w:t>
      </w:r>
    </w:p>
    <w:p>
      <w:pPr>
        <w:tabs>
          <w:tab w:val="left" w:pos="480"/>
        </w:tabs>
        <w:spacing w:after="60"/>
        <w:ind w:left="480" w:hanging="48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I. Loshchilov and F. Hutter, "SGDR: Stochastic gradient descent with warm restarts," in </w:t>
      </w:r>
      <w:r>
        <w:rPr>
          <w:rFonts w:ascii="Times New Roman" w:cs="Times New Roman" w:eastAsia="Times New Roman" w:hAnsi="Times New Roman"/>
          <w:i/>
          <w:iCs/>
          <w:sz w:val="17"/>
          <w:szCs w:val="17"/>
        </w:rPr>
        <w:t xml:space="preserve">Proc. ICLR</w:t>
      </w:r>
      <w:r>
        <w:rPr>
          <w:rFonts w:ascii="Times New Roman" w:cs="Times New Roman" w:eastAsia="Times New Roman" w:hAnsi="Times New Roman"/>
          <w:sz w:val="17"/>
          <w:szCs w:val="17"/>
        </w:rPr>
        <w:t xml:space="preserve">, 2017.</w:t>
      </w:r>
    </w:p>
    <w:p>
      <w:pPr>
        <w:tabs>
          <w:tab w:val="left" w:pos="480"/>
        </w:tabs>
        <w:spacing w:after="60"/>
        <w:ind w:left="480" w:hanging="48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F. Milletari, N. Navab, and S.-A. Ahmadi, "V-Net: Fully convolutional neural networks for volumetric medical image segmentation," in </w:t>
      </w:r>
      <w:r>
        <w:rPr>
          <w:rFonts w:ascii="Times New Roman" w:cs="Times New Roman" w:eastAsia="Times New Roman" w:hAnsi="Times New Roman"/>
          <w:i/>
          <w:iCs/>
          <w:sz w:val="17"/>
          <w:szCs w:val="17"/>
        </w:rPr>
        <w:t xml:space="preserve">Proc. 3DV</w:t>
      </w:r>
      <w:r>
        <w:rPr>
          <w:rFonts w:ascii="Times New Roman" w:cs="Times New Roman" w:eastAsia="Times New Roman" w:hAnsi="Times New Roman"/>
          <w:sz w:val="17"/>
          <w:szCs w:val="17"/>
        </w:rPr>
        <w:t xml:space="preserve">, 2016, pp. 565–571.</w:t>
      </w:r>
    </w:p>
    <w:p>
      <w:pPr>
        <w:tabs>
          <w:tab w:val="left" w:pos="480"/>
        </w:tabs>
        <w:spacing w:after="60"/>
        <w:ind w:left="480" w:hanging="48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F. Muneeb, S. U. Baig, J. A. Khan, and M. F. Khokhar, "Inventory and GLOF susceptibility of glacial lakes in Hunza River Basin, Western Karakorum,"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13, no. 9, art. 1794, 2021.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abstractNum w:abstractNumId="3" w15:restartNumberingAfterBreak="0">
    <w:multiLevelType w:val="hybridMultilevel"/>
    <w:lvl w:ilvl="0" w:tentative="1">
      <w:start w:val="1"/>
      <w:numFmt w:val="lowerRoman"/>
      <w:lvlText w:val="%1)"/>
      <w:lvlJc w:val="left"/>
      <w:pPr>
        <w:ind w:left="568" w:hanging="340"/>
      </w:pPr>
    </w:lvl>
  </w:abstractNum>
  <w:abstractNum w:abstractNumId="4" w15:restartNumberingAfterBreak="0">
    <w:multiLevelType w:val="hybridMultilevel"/>
    <w:lvl w:ilvl="0" w:tentative="1">
      <w:start w:val="1"/>
      <w:numFmt w:val="lowerRoman"/>
      <w:lvlText w:val="%1)"/>
      <w:lvlJc w:val="left"/>
      <w:pPr>
        <w:ind w:left="568" w:hanging="340"/>
      </w:pPr>
    </w:lvl>
  </w:abstractNum>
  <w:abstractNum w:abstractNumId="5" w15:restartNumberingAfterBreak="0">
    <w:multiLevelType w:val="hybridMultilevel"/>
    <w:lvl w:ilvl="0" w:tentative="1">
      <w:start w:val="1"/>
      <w:numFmt w:val="lowerRoman"/>
      <w:lvlText w:val="%1)"/>
      <w:lvlJc w:val="left"/>
      <w:pPr>
        <w:ind w:left="568" w:hanging="340"/>
      </w:pPr>
    </w:lvl>
  </w:abstractNum>
  <w:abstractNum w:abstractNumId="6" w15:restartNumberingAfterBreak="0">
    <w:multiLevelType w:val="hybridMultilevel"/>
    <w:lvl w:ilvl="0" w:tentative="1">
      <w:start w:val="1"/>
      <w:numFmt w:val="lowerRoman"/>
      <w:lvlText w:val="%1)"/>
      <w:lvlJc w:val="left"/>
      <w:pPr>
        <w:ind w:left="568" w:hanging="340"/>
      </w:pPr>
    </w:lvl>
  </w:abstractNum>
  <w:abstractNum w:abstractNumId="7" w15:restartNumberingAfterBreak="0">
    <w:multiLevelType w:val="hybridMultilevel"/>
    <w:lvl w:ilvl="0" w:tentative="1">
      <w:start w:val="1"/>
      <w:numFmt w:val="lowerRoman"/>
      <w:lvlText w:val="%1)"/>
      <w:lvlJc w:val="left"/>
      <w:pPr>
        <w:ind w:left="568" w:hanging="340"/>
      </w:pPr>
    </w:lvl>
  </w:abstractNum>
  <w:abstractNum w:abstractNumId="8" w15:restartNumberingAfterBreak="0">
    <w:multiLevelType w:val="hybridMultilevel"/>
    <w:lvl w:ilvl="0" w:tentative="1">
      <w:start w:val="1"/>
      <w:numFmt w:val="lowerRoman"/>
      <w:lvlText w:val="%1)"/>
      <w:lvlJc w:val="left"/>
      <w:pPr>
        <w:ind w:left="568" w:hanging="340"/>
      </w:pPr>
    </w:lvl>
  </w:abstractNum>
  <w:abstractNum w:abstractNumId="9" w15:restartNumberingAfterBreak="0">
    <w:multiLevelType w:val="hybridMultilevel"/>
    <w:lvl w:ilvl="0" w:tentative="1">
      <w:start w:val="1"/>
      <w:numFmt w:val="lowerRoman"/>
      <w:lvlText w:val="%1)"/>
      <w:lvlJc w:val="left"/>
      <w:pPr>
        <w:ind w:left="568" w:hanging="340"/>
      </w:pPr>
    </w:lvl>
  </w:abstractNum>
  <w:abstractNum w:abstractNumId="10" w15:restartNumberingAfterBreak="0">
    <w:multiLevelType w:val="hybridMultilevel"/>
    <w:lvl w:ilvl="0" w:tentative="1">
      <w:start w:val="1"/>
      <w:numFmt w:val="lowerRoman"/>
      <w:lvlText w:val="%1)"/>
      <w:lvlJc w:val="left"/>
      <w:pPr>
        <w:ind w:left="568" w:hanging="340"/>
      </w:pPr>
    </w:lvl>
  </w:abstractNum>
  <w:abstractNum w:abstractNumId="11" w15:restartNumberingAfterBreak="0">
    <w:multiLevelType w:val="hybridMultilevel"/>
    <w:lvl w:ilvl="0" w:tentative="1">
      <w:start w:val="1"/>
      <w:numFmt w:val="decimal"/>
      <w:lvlText w:val="%1)"/>
      <w:lvlJc w:val="left"/>
      <w:pPr>
        <w:ind w:left="568" w:hanging="340"/>
      </w:pPr>
    </w:lvl>
  </w:abstractNum>
  <w:abstractNum w:abstractNumId="12" w15:restartNumberingAfterBreak="0">
    <w:multiLevelType w:val="hybridMultilevel"/>
    <w:lvl w:ilvl="0" w:tentative="1">
      <w:start w:val="1"/>
      <w:numFmt w:val="decimal"/>
      <w:lvlText w:val="%1)"/>
      <w:lvlJc w:val="left"/>
      <w:pPr>
        <w:ind w:left="568" w:hanging="340"/>
      </w:pPr>
    </w:lvl>
  </w:abstractNum>
  <w:abstractNum w:abstractNumId="13" w15:restartNumberingAfterBreak="0">
    <w:multiLevelType w:val="hybridMultilevel"/>
    <w:lvl w:ilvl="0" w:tentative="1">
      <w:start w:val="1"/>
      <w:numFmt w:val="decimal"/>
      <w:lvlText w:val="%1)"/>
      <w:lvlJc w:val="left"/>
      <w:pPr>
        <w:ind w:left="568" w:hanging="340"/>
      </w:pPr>
    </w:lvl>
  </w:abstractNum>
  <w:abstractNum w:abstractNumId="14" w15:restartNumberingAfterBreak="0">
    <w:multiLevelType w:val="hybridMultilevel"/>
    <w:lvl w:ilvl="0" w:tentative="1">
      <w:start w:val="1"/>
      <w:numFmt w:val="decimal"/>
      <w:lvlText w:val="%1)"/>
      <w:lvlJc w:val="left"/>
      <w:pPr>
        <w:ind w:left="568" w:hanging="340"/>
      </w:pPr>
    </w:lvl>
  </w:abstractNum>
  <w:abstractNum w:abstractNumId="15" w15:restartNumberingAfterBreak="0">
    <w:multiLevelType w:val="hybridMultilevel"/>
    <w:lvl w:ilvl="0" w:tentative="1">
      <w:start w:val="1"/>
      <w:numFmt w:val="decimal"/>
      <w:lvlText w:val="%1)"/>
      <w:lvlJc w:val="left"/>
      <w:pPr>
        <w:ind w:left="568" w:hanging="340"/>
      </w:pPr>
    </w:lvl>
  </w:abstractNum>
  <w:abstractNum w:abstractNumId="16" w15:restartNumberingAfterBreak="0">
    <w:multiLevelType w:val="hybridMultilevel"/>
    <w:lvl w:ilvl="0" w:tentative="1">
      <w:start w:val="1"/>
      <w:numFmt w:val="decimal"/>
      <w:lvlText w:val="%1)"/>
      <w:lvlJc w:val="left"/>
      <w:pPr>
        <w:ind w:left="568" w:hanging="340"/>
      </w:pPr>
    </w:lvl>
  </w:abstractNum>
  <w:abstractNum w:abstractNumId="17" w15:restartNumberingAfterBreak="0">
    <w:multiLevelType w:val="hybridMultilevel"/>
    <w:lvl w:ilvl="0" w:tentative="1">
      <w:start w:val="1"/>
      <w:numFmt w:val="decimal"/>
      <w:lvlText w:val="%1)"/>
      <w:lvlJc w:val="left"/>
      <w:pPr>
        <w:ind w:left="568" w:hanging="340"/>
      </w:pPr>
    </w:lvl>
  </w:abstractNum>
  <w:abstractNum w:abstractNumId="18" w15:restartNumberingAfterBreak="0">
    <w:multiLevelType w:val="hybridMultilevel"/>
    <w:lvl w:ilvl="0" w:tentative="1">
      <w:start w:val="1"/>
      <w:numFmt w:val="decimal"/>
      <w:lvlText w:val="%1)"/>
      <w:lvlJc w:val="left"/>
      <w:pPr>
        <w:ind w:left="568"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2"/>
      <w:szCs w:val="22"/>
    </w:rPr>
  </w:style>
  <w:style w:type="paragraph" w:styleId="Heading2">
    <w:name w:val="Heading 2"/>
    <w:basedOn w:val="Normal"/>
    <w:next w:val="Normal"/>
    <w:qFormat/>
    <w:pPr>
      <w:outlineLvl w:val="1"/>
    </w:pPr>
    <w:rPr>
      <w:rFonts w:ascii="Times New Roman" w:cs="Times New Roman" w:eastAsia="Times New Roman" w:hAnsi="Times New Roman"/>
      <w:i/>
      <w:iCs/>
      <w:sz w:val="22"/>
      <w:szCs w:val="22"/>
    </w:rPr>
  </w:style>
  <w:style w:type="paragraph" w:styleId="Heading3">
    <w:name w:val="Heading 3"/>
    <w:basedOn w:val="Normal"/>
    <w:next w:val="Normal"/>
    <w:qFormat/>
    <w:pPr>
      <w:outlineLvl w:val="2"/>
    </w:pPr>
    <w:rPr>
      <w:rFonts w:ascii="Times New Roman" w:cs="Times New Roman" w:eastAsia="Times New Roman" w:hAnsi="Times New Roman"/>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87b87be2ddc1dec98f907201dad403748f1721d.png"/><Relationship Id="rId9" Type="http://schemas.openxmlformats.org/officeDocument/2006/relationships/image" Target="media/2274579d2815455affbfd1a20568fc70fe21b692.png"/><Relationship Id="rId10" Type="http://schemas.openxmlformats.org/officeDocument/2006/relationships/image" Target="media/c0521c4f3b2e15e86dbca27fe040abefa936ab0b.png"/><Relationship Id="rId11" Type="http://schemas.openxmlformats.org/officeDocument/2006/relationships/image" Target="media/bc453aa88cb9b757a652c96adab4e32cc027ca33.png"/><Relationship Id="rId12" Type="http://schemas.openxmlformats.org/officeDocument/2006/relationships/image" Target="media/0d932d8a3c9d2c2d9fcfdd238b2025af99b1b0e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 — Methodology and Experimental Setup</dc:title>
  <dc:creator>Muhammad Ali Saleem, Junaid Minhas, Safee Akmal</dc:creator>
  <cp:lastModifiedBy>Un-named</cp:lastModifiedBy>
  <cp:revision>1</cp:revision>
  <dcterms:created xsi:type="dcterms:W3CDTF">2026-10-04T11:54:44.926Z</dcterms:created>
  <dcterms:modified xsi:type="dcterms:W3CDTF">2026-10-04T11:54:44.926Z</dcterms:modified>
</cp:coreProperties>
</file>

<file path=docProps/custom.xml><?xml version="1.0" encoding="utf-8"?>
<Properties xmlns="http://schemas.openxmlformats.org/officeDocument/2006/custom-properties" xmlns:vt="http://schemas.openxmlformats.org/officeDocument/2006/docPropsVTypes"/>
</file>