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3 — Paper up to Experiments and Results</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This document contains all chapters up to Experiments and Results, as required for Deliverable 3, with the results of the Colab run (notebooks/glof_pipeline.ipynb; all numbers are also in results/metrics/). Submit it together with the executed notebook.</w:t>
            </w:r>
          </w:p>
          <w:p>
            <w:pPr>
              <w:spacing w:after="50"/>
              <w:jc w:val="left"/>
            </w:pPr>
            <w:r>
              <w:rPr>
                <w:rFonts w:ascii="Times New Roman" w:cs="Times New Roman" w:eastAsia="Times New Roman" w:hAnsi="Times New Roman"/>
                <w:sz w:val="19"/>
                <w:szCs w:val="19"/>
              </w:rPr>
              <w:t xml:space="preserve">Remaining placeholders: affiliation and e-mails under the title, and the venue of the Thati &amp; Ari reference. Delete this box before exporting to PDF.</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dates) at three sites: the ice-dammed Shishper lake, the surge-dammed Khurdopin lake and Borith Lake as a comparison site next to Passu Glacier. Water labels are generated automatically from Sentinel-2 NDWI with cloud, shadow and snow rules (191 labelled dates). Optical-only, radar-only and early-fusion U-Nets (ResNet-18 encoder, balanced crop sampling, three seeds each) are compared on held-out years. The fusion model is the most accurate and the most stable: pixel-pooled IoU 0.778 ± 0.005, against 0.521 ± 0.214 for optical-only and 0.487 ± 0.007 for radar-only, and it is the best model at every site. With all optical inputs removed it retains an IoU of 0.503 ± 0.015, close to the radar-only model, while the optical-only model fails; neither radar-based model recovers the small Shishper and Khurdopin lakes without optical data. Lake-area time series from the fusion ensemble reproduce the drainage of Shishper lake after 29 May 2020 and 7 May 2022 and of Khurdopin lake in July 2017. A transparent equal-weight hazard index ranked the large, stable comparison lake highest in all three pre-event windows; an exploratory per-lake normalised version, added after this result, peaked at the event lake before all three events.</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a radar-only ablation and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optical-only and radar-only models,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two identical U-Nets that receive only optical inputs (baseline) or only radar and terrain inputs (ablation).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the radar-only ablation and the fusion model, each with three random seeds; (5) evaluation of all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10" name="pipeline" descr="Overview of the proposed pipeline. Blue: data acquisition and preparation; orange: labels and models; green: outputs. The optical-only and radar-only models are used for the comparison only; the fusion model (3-seed ensemble) produces the time series and hazard index. All models use a ResNet-18 encoder, balanced crop sampling and three training seeds."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and radar-only models are used for the comparison only; the fusion model (3-seed ensemble) produces the time series and hazard index. All models use a ResNet-18 encoder, balanced crop sampling and three training seeds.</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1"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All three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models architecturally identical (only the first convolution differs), and therefore isolates the effect of the inputs. A radar-only U-Net that receives only the four radar and terrain channels serves as an ablation: comparing it with the optical-only and fusion models shows whether fusion adds anything beyond each sensor alone.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12" name="arch" descr="U-Net with ResNet-18 encoder. Numbers give feature channels and down-sampling factor; C = 5 for the optical-only, C = 4 for the radar-only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C = 4 for the radar-only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9"/>
        <w:gridCol w:w="1906"/>
        <w:gridCol w:w="2118"/>
        <w:gridCol w:w="2224"/>
        <w:gridCol w:w="953"/>
        <w:gridCol w:w="953"/>
        <w:gridCol w:w="955"/>
      </w:tblGrid>
      <w:tr>
        <w:trPr>
          <w:cantSplit/>
          <w:tblHeader/>
        </w:trPr>
        <w:tc>
          <w:tcPr>
            <w:tcW w:type="dxa" w:w="5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190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1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22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95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95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Radar</w:t>
            </w:r>
          </w:p>
        </w:tc>
        <w:tc>
          <w:tcPr>
            <w:tcW w:type="dxa" w:w="95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190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11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22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95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29"/>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190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11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22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95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95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95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13"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14"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128 × 128 crops from the full site images — half of them centred on a random lake-water pixel (Section III-D) —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All three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spacing w:after="100" w:line="264"/>
        <w:ind w:firstLine="284"/>
        <w:jc w:val="both"/>
      </w:pPr>
      <w:r>
        <w:rPr>
          <w:rFonts w:ascii="Times New Roman" w:cs="Times New Roman" w:eastAsia="Times New Roman" w:hAnsi="Times New Roman"/>
          <w:b/>
          <w:bCs/>
        </w:rPr>
        <w:t xml:space="preserve">Balanced sampling and seeds.</w:t>
      </w:r>
      <w:r>
        <w:rPr>
          <w:rFonts w:ascii="Times New Roman" w:cs="Times New Roman" w:eastAsia="Times New Roman" w:hAnsi="Times New Roman"/>
        </w:rPr>
        <w:t xml:space="preserve"> In preliminary single-seed runs, models sometimes converged to predicting no water anywhere — lake water covers well under 1% of the pixels and most random crops contain none — and results changed substantially between otherwise identical runs. We therefore centre half of the training crops on a randomly chosen lake-water pixel (</w:t>
      </w:r>
      <w:r>
        <w:rPr>
          <w:rFonts w:ascii="Times New Roman" w:cs="Times New Roman" w:eastAsia="Times New Roman" w:hAnsi="Times New Roman"/>
          <w:i/>
          <w:iCs/>
        </w:rPr>
        <w:t xml:space="preserve">balanced crop sampling</w:t>
      </w:r>
      <w:r>
        <w:rPr>
          <w:rFonts w:ascii="Times New Roman" w:cs="Times New Roman" w:eastAsia="Times New Roman" w:hAnsi="Times New Roman"/>
        </w:rPr>
        <w:t xml:space="preserve">; 74 of the 137 training images contain water) and train every model with three seeds. Each seed has its own random-number generator, so the batches seen by one model do not depend on which models were trained before it. Results are reported as mean ± standard deviation across seeds, and the mean predicted probability of the three fusion seeds (an ensemble) is used for the time series.</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4 (radar-only)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128 × 128 crops of the 448 × 448 site images: 50% centred on a random lake-water pixel (balanced sampling), 50% random</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 per model (0, 1, 2); PyTorch seed and a separate NumPy generator per seed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Time-series prediction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model, mean probability of its 3 seeds (ensemble)</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Tesla T4 GPU (16 GB)</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Pixel-pooled metrics are computed separately for each training seed and reported as mean ± standard deviation across the three seeds. In addition, per-image metrics are reported as mean ± standard deviation over the test images that contain water (pooled over seeds),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the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the fusion model can use SAR and terrain, and the radar-only model is unaffected because it never sees optical data.</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(mean probability of its three seeds)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The three models were each trained with three seeds on a Google Colab NVIDIA Tesla T4 GPU with identical settings and data; they differ only in their input channels and in the optical-channel dropout of the fusion model. Unless stated otherwise, values are means ± standard deviations across the three seeds.</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Optical-only vs radar-only vs fusion</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three U-Nets on held-out years (3 seeds each)</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lake area with the fusion ensemble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The documented events are already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Shishper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15"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Radar-only and Fusion Models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Of the 54 held-out images from 2019 and 2021, 31 contain lake water and 23 do not.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pixel-pooled metrics over all test images,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the IoU of every seed and of the 3-seed ensemble, </w:t>
      </w:r>
      <w:r>
        <w:rPr>
          <w:rFonts w:ascii="Times New Roman" w:cs="Times New Roman" w:eastAsia="Times New Roman" w:hAnsi="Times New Roman"/>
        </w:rPr>
        <w:t xml:space="preserve">Table XIV</w:t>
      </w:r>
      <w:r>
        <w:rPr>
          <w:rFonts w:ascii="Times New Roman" w:cs="Times New Roman" w:eastAsia="Times New Roman" w:hAnsi="Times New Roman"/>
        </w:rPr>
        <w:t xml:space="preserve"> and </w:t>
      </w:r>
      <w:r>
        <w:rPr>
          <w:rFonts w:ascii="Times New Roman" w:cs="Times New Roman" w:eastAsia="Times New Roman" w:hAnsi="Times New Roman"/>
        </w:rPr>
        <w:t xml:space="preserve">Fig. 7</w:t>
      </w:r>
      <w:r>
        <w:rPr>
          <w:rFonts w:ascii="Times New Roman" w:cs="Times New Roman" w:eastAsia="Times New Roman" w:hAnsi="Times New Roman"/>
        </w:rPr>
        <w:t xml:space="preserve"> the pooled IoU per site, </w:t>
      </w:r>
      <w:r>
        <w:rPr>
          <w:rFonts w:ascii="Times New Roman" w:cs="Times New Roman" w:eastAsia="Times New Roman" w:hAnsi="Times New Roman"/>
        </w:rPr>
        <w:t xml:space="preserve">Table XV</w:t>
      </w:r>
      <w:r>
        <w:rPr>
          <w:rFonts w:ascii="Times New Roman" w:cs="Times New Roman" w:eastAsia="Times New Roman" w:hAnsi="Times New Roman"/>
        </w:rPr>
        <w:t xml:space="preserve"> per-image metrics on the images that contain water, and </w:t>
      </w:r>
      <w:r>
        <w:rPr>
          <w:rFonts w:ascii="Times New Roman" w:cs="Times New Roman" w:eastAsia="Times New Roman" w:hAnsi="Times New Roman"/>
        </w:rPr>
        <w:t xml:space="preserve">Table XVI</w:t>
      </w:r>
      <w:r>
        <w:rPr>
          <w:rFonts w:ascii="Times New Roman" w:cs="Times New Roman" w:eastAsia="Times New Roman" w:hAnsi="Times New Roman"/>
        </w:rPr>
        <w:t xml:space="preserve"> false positives on the images without water.</w:t>
      </w:r>
    </w:p>
    <w:p>
      <w:pPr>
        <w:spacing w:after="100" w:line="264"/>
        <w:ind w:firstLine="284"/>
        <w:jc w:val="both"/>
      </w:pPr>
      <w:r>
        <w:rPr>
          <w:rFonts w:ascii="Times New Roman" w:cs="Times New Roman" w:eastAsia="Times New Roman" w:hAnsi="Times New Roman"/>
        </w:rPr>
        <w:t xml:space="preserve">The fusion model is the best model on every metric under clear conditions, with a pixel-pooled IoU of 0.778 ± 0.005 (F1 0.875), against 0.521 ± 0.214 for the optical-only model and 0.487 ± 0.007 for the radar-only model. It is also the most stable: its three seeds lie between 0.773 and 0.782, whereas one optical-only seed reached only 0.275 against 0.645 and 0.644 for the other two. The fusion model combines the higher recall of optical data (0.896) with the higher precision of the radar-and-terrain model (0.856 versus 0.702), while the optical-only model has the lowest precision (0.643) and produces false positives on the most water-free images (6.3 of 23 on average). Per site, the fusion model is best everywhere, and its advantage is largest on the two event lakes: Shishper 0.601 against 0.155 (optical-only) and 0.082 (radar-only), and Khurdopin 0.513 against 0.251 and 0.000. On Borith Lake all models perform better (fusion 0.870, optical-only 0.690, radar-only 0.610). Averaging the three seeds' probabilities (ensemble) changes the results little for the fusion model (0.785) but raises the optical-only model to 0.650, because it removes the effect of the failed seed.</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PIXEL-POOLED SEGMENTATION RESULTS ON HELD-OUT YEARS (ALL 54 TEST IMAGES; MEAN ± SD OVER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927"/>
        <w:gridCol w:w="1445"/>
        <w:gridCol w:w="1445"/>
        <w:gridCol w:w="1542"/>
        <w:gridCol w:w="1545"/>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Condition</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Model</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F1</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Precision</w:t>
            </w:r>
          </w:p>
        </w:tc>
        <w:tc>
          <w:tcPr>
            <w:tcW w:type="dxa" w:w="15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Recall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Optical-only (5 ch)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0.521 ± 0.214</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0.666 ± 0.204</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0.643 ± 0.293</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0.752 ± 0.011</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Radar-only (4 ch)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0.487 ± 0.007</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0.655 ± 0.006</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0.702 ± 0.035</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0.615 ± 0.020</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 (9 ch)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0.778 ± 0.005</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0.875 ± 0.003</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0.856 ± 0.023</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0.896 ± 0.019</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Optical-only (5 ch)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Radar-only (4 ch)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0.487 ± 0.007</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0.655 ± 0.006</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0.702 ± 0.035</w:t>
            </w:r>
          </w:p>
        </w:tc>
        <w:tc>
          <w:tcPr>
            <w:tcW w:type="dxa" w:w="15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0.615 ± 0.020</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 (9 ch)</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0.503 ± 0.015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0.669 ± 0.013</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0.788 ± 0.028</w:t>
            </w:r>
          </w:p>
        </w:tc>
        <w:tc>
          <w:tcPr>
            <w:tcW w:type="dxa" w:w="15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0.581 ± 0.014</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 The radar-only model has no optical inputs, so its two rows are identical.</w:t>
      </w:r>
    </w:p>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PIXEL-POOLED IOU PER TRAINING SEED AND OF THE 3-SEED 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734"/>
        <w:gridCol w:w="1349"/>
        <w:gridCol w:w="1349"/>
        <w:gridCol w:w="1349"/>
        <w:gridCol w:w="2123"/>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Seed 0</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Seed 1</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Seed 2</w:t>
            </w:r>
          </w:p>
        </w:tc>
        <w:tc>
          <w:tcPr>
            <w:tcW w:type="dxa" w:w="212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3-seed ensemble</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0.645</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0.644</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0.275</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0.650</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Radar-only</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0.479</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0.492</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0.489</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0.497</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0.773</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0.779</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0.782</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0.785</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Radar-only</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0.479</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0.492</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0.489</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0.497</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0.516</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0.505</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0.486</w:t>
            </w:r>
          </w:p>
        </w:tc>
        <w:tc>
          <w:tcPr>
            <w:tcW w:type="dxa" w:w="212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0.512</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PIXEL-POOLED IOU PER SITE (MEAN ± SD OVER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1734"/>
        <w:gridCol w:w="1734"/>
        <w:gridCol w:w="1831"/>
        <w:gridCol w:w="183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Site (test images / with water)</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Optical, clear</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Radar-only</w:t>
            </w:r>
          </w:p>
        </w:tc>
        <w:tc>
          <w:tcPr>
            <w:tcW w:type="dxa" w:w="18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Fusion, clear</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Fusion, sim. cloud</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Shishper (13 / 8)</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0.155 ± 0.039</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0.082 ± 0.041</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0.601 ± 0.007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0.065 ± 0.013</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(26 / 8)</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0.251 ± 0.011</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0.513 ± 0.046</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0.000 ± 0.000</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Passu / Borith (15 / 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0.690 ± 0.306</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0.610 ± 0.020</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0.870 ± 0.003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0.643 ± 0.022</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All sites (54 / 31)</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0.521 ± 0.214</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0.487 ± 0.007</w:t>
            </w:r>
          </w:p>
        </w:tc>
        <w:tc>
          <w:tcPr>
            <w:tcW w:type="dxa" w:w="18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0.778 ± 0.005</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0.503 ± 0.015</w:t>
            </w:r>
          </w:p>
        </w:tc>
      </w:tr>
    </w:tbl>
    <w:p>
      <w:pPr>
        <w:spacing w:after="160"/>
      </w:pPr>
    </w:p>
    <w:p>
      <w:pPr>
        <w:keepNext/>
        <w:spacing w:after="60" w:before="120"/>
        <w:jc w:val="center"/>
      </w:pPr>
      <w:r>
        <w:drawing>
          <wp:inline distT="0" distB="0" distL="0" distR="0">
            <wp:extent cx="5852160" cy="2438400"/>
            <wp:effectExtent t="0" r="0" b="0" l="0"/>
            <wp:docPr id="16" name="iou" descr="Pixel-pooled IoU per site (mean ± sd over three seeds) of the optical-only, radar-only and fusion models under clear conditions and with all optical channels removed (simulated complete cloud cover)." title="Pixel-pooled IoU per site (mean ± sd over three seeds) of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24384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Pixel-pooled IoU per site (mean ± sd over three seeds) of the optical-only, radar-only and fusion models under clear conditions and with all optical channels removed (simulated complete cloud cover).</w:t>
      </w: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PER-IMAGE RESULTS ON THE 31 TEST IMAGES CONTAINING WATER (MEAN ± SD OVER IMAGES AND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542"/>
        <w:gridCol w:w="1542"/>
        <w:gridCol w:w="1638"/>
        <w:gridCol w:w="1640"/>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Model</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IoU</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F1</w:t>
            </w:r>
          </w:p>
        </w:tc>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Precision</w:t>
            </w:r>
          </w:p>
        </w:tc>
        <w:tc>
          <w:tcPr>
            <w:tcW w:type="dxa" w:w="16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Recall</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Optical-only</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0.493 ± 0.340</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0.586 ± 0.336</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0.581 ± 0.333</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0.682 ± 0.347</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Radar-only</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0.327 ± 0.316</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0.408 ± 0.365</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0.439 ± 0.365</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0.450 ± 0.428</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0.704 ± 0.217</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0.804 ± 0.180</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0.782 ± 0.195</w:t>
            </w:r>
          </w:p>
        </w:tc>
        <w:tc>
          <w:tcPr>
            <w:tcW w:type="dxa" w:w="16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0.853 ± 0.155</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Fusion</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0.324 ± 0.345</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0.388 ± 0.394</w:t>
            </w:r>
          </w:p>
        </w:tc>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0.433 ± 0.409</w:t>
            </w:r>
          </w:p>
        </w:tc>
        <w:tc>
          <w:tcPr>
            <w:tcW w:type="dxa" w:w="16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0.409 ± 0.437</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FALSE POSITIVES ON THE 23 TEST IMAGES WITHOUT WATER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542"/>
        <w:gridCol w:w="1734"/>
        <w:gridCol w:w="2505"/>
        <w:gridCol w:w="2123"/>
      </w:tblGrid>
      <w:tr>
        <w:trPr>
          <w:cantSplit/>
          <w:tblHeader/>
        </w:trPr>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without water</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Images with any false positive (mean of 3 seeds)</w:t>
            </w:r>
          </w:p>
        </w:tc>
        <w:tc>
          <w:tcPr>
            <w:tcW w:type="dxa" w:w="212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false-positive area (km²)</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6.3</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0.0114</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Radar-only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0.0003</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3.3</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0.0002</w:t>
            </w:r>
          </w:p>
        </w:tc>
      </w:tr>
      <w:tr>
        <w:trPr>
          <w:cantSplit/>
          <w:tblHeader w:val="off"/>
        </w:trPr>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212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r>
      <w:tr>
        <w:trPr>
          <w:cantSplit/>
          <w:tblHeader w:val="off"/>
        </w:trPr>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23</w:t>
            </w: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212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With all optical channels removed, the optical-only model predicts no water at all, whereas the fusion model retains a pixel-pooled IoU of 0.503 ± 0.015 — 65% of its clear-condition value — with high precision (0.788) and moderate recall (0.581), and no false positives on images without water. This is close to, and slightly above, the radar-only model (0.487 ± 0.007): without optical inputs the fusion model behaves like a radar model, which is what optical-channel dropout trains it to do. The robustness is strongly site-dependent (</w:t>
      </w:r>
      <w:r>
        <w:rPr>
          <w:rFonts w:ascii="Times New Roman" w:cs="Times New Roman" w:eastAsia="Times New Roman" w:hAnsi="Times New Roman"/>
        </w:rPr>
        <w:t xml:space="preserve">Table XIV</w:t>
      </w:r>
      <w:r>
        <w:rPr>
          <w:rFonts w:ascii="Times New Roman" w:cs="Times New Roman" w:eastAsia="Times New Roman" w:hAnsi="Times New Roman"/>
        </w:rPr>
        <w:t xml:space="preserve">): on Borith Lake the fusion model keeps an IoU of 0.643 (radar-only 0.610), but on the small event lakes neither radar-based model works without optical data (Shishper 0.065 and 0.082; Khurdopin 0 for both).</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the 3-seed ensemble predictions of all models on four held-out dates. On Shishper (6 May 2019) the automatic label covers only part of the turquoise lake; the fusion model detects the main lake body most completely, the optical-only model captures a smaller part of it, and the radar-only model detects only small fragments. With optical inputs removed, the fusion model still finds a small part of the lake. On Khurdopin (26 July 2021) the label contains only a tiny water patch on the river at the image edge, which only the fusion model detects. On Borith Lake (29 July 2021) all models match the label closely; without optical inputs the fusion model recovers the lake outline with one small false positive at the image edge, and the radar-only model adds a few small false detections on the river. On the drained Shishper lake (25 July 2019) all models correctly predict no water.</w:t>
      </w:r>
    </w:p>
    <w:p>
      <w:pPr>
        <w:keepNext/>
        <w:spacing w:after="60" w:before="120"/>
        <w:jc w:val="center"/>
      </w:pPr>
      <w:r>
        <w:drawing>
          <wp:inline distT="0" distB="0" distL="0" distR="0">
            <wp:extent cx="6035040" cy="4041382"/>
            <wp:effectExtent t="0" r="0" b="0" l="0"/>
            <wp:docPr id="17" name="qual" descr="Qualitative results on held-out dates (3-seed ensembles). Columns: Sentinel-2 image, automatic label, optical-only, radar-only and fusion predictions, and the optical-only and fusion models with all optical channels removed (simulated cloud)." title="Qualitative results on held-out dates (3-seed ensembles). 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4041382"/>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(3-seed ensembles). Columns: Sentinel-2 image, automatic label, optical-only, radar-only and fusion predictions, and the optical-only and fusion models with all optical channels removed (simulated cloud).</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9</w:t>
      </w:r>
      <w:r>
        <w:rPr>
          <w:rFonts w:ascii="Times New Roman" w:cs="Times New Roman" w:eastAsia="Times New Roman" w:hAnsi="Times New Roman"/>
        </w:rPr>
        <w:t xml:space="preserve"> shows the lake area derived by the fusion ensemble for all 730 dates, coloured by data source, and </w:t>
      </w:r>
      <w:r>
        <w:rPr>
          <w:rFonts w:ascii="Times New Roman" w:cs="Times New Roman" w:eastAsia="Times New Roman" w:hAnsi="Times New Roman"/>
        </w:rPr>
        <w:t xml:space="preserve">Table XVII</w:t>
      </w:r>
      <w:r>
        <w:rPr>
          <w:rFonts w:ascii="Times New Roman" w:cs="Times New Roman" w:eastAsia="Times New Roman" w:hAnsi="Times New Roman"/>
        </w:rPr>
        <w:t xml:space="preserve"> summarises the series. At </w:t>
      </w:r>
      <w:r>
        <w:rPr>
          <w:rFonts w:ascii="Times New Roman" w:cs="Times New Roman" w:eastAsia="Times New Roman" w:hAnsi="Times New Roman"/>
          <w:b/>
          <w:bCs/>
        </w:rPr>
        <w:t xml:space="preserve">Shishper</w:t>
      </w:r>
      <w:r>
        <w:rPr>
          <w:rFonts w:ascii="Times New Roman" w:cs="Times New Roman" w:eastAsia="Times New Roman" w:hAnsi="Times New Roman"/>
        </w:rPr>
        <w:t xml:space="preserve">, lake water appears on spring dates before each event — about 0.02 km² in April 2020 and 0.02–0.04 km² in March–April 2022 — and the area is zero on every date after 29 May 2020 and after 7 May 2022, apart from one cloudy-date detection of about 0.024 km² in June 2022. The lake also appears in May 2019 (up to about 0.09 km²) and spring 2021 (about 0.04–0.05 km²) and is gone by mid-summer in both years; in May 2019 and spring 2022 some radar-only dates also detect it. At </w:t>
      </w:r>
      <w:r>
        <w:rPr>
          <w:rFonts w:ascii="Times New Roman" w:cs="Times New Roman" w:eastAsia="Times New Roman" w:hAnsi="Times New Roman"/>
          <w:b/>
          <w:bCs/>
        </w:rPr>
        <w:t xml:space="preserve">Khurdopin</w:t>
      </w:r>
      <w:r>
        <w:rPr>
          <w:rFonts w:ascii="Times New Roman" w:cs="Times New Roman" w:eastAsia="Times New Roman" w:hAnsi="Times New Roman"/>
        </w:rPr>
        <w:t xml:space="preserve">, 0.01–0.02 km² are detected in May–June 2017 and nothing after the July 2017 drainage apart from isolated detections below 0.01 km². </w:t>
      </w:r>
      <w:r>
        <w:rPr>
          <w:rFonts w:ascii="Times New Roman" w:cs="Times New Roman" w:eastAsia="Times New Roman" w:hAnsi="Times New Roman"/>
          <w:b/>
          <w:bCs/>
        </w:rPr>
        <w:t xml:space="preserve">Borith Lake</w:t>
      </w:r>
      <w:r>
        <w:rPr>
          <w:rFonts w:ascii="Times New Roman" w:cs="Times New Roman" w:eastAsia="Times New Roman" w:hAnsi="Times New Roman"/>
        </w:rPr>
        <w:t xml:space="preserve"> is detected at 0.10–0.15 km² on most dates, with optical and radar-only dates now in agreement, and with drops on several early-spring dates when the lake is frozen or snow-covered. A single cloudy date in April 2020 gives a spurious 0.10 km² at Shishper.</w:t>
      </w:r>
    </w:p>
    <w:p>
      <w:pPr>
        <w:keepNext/>
        <w:spacing w:after="60" w:before="120"/>
        <w:jc w:val="center"/>
      </w:pPr>
      <w:r>
        <w:drawing>
          <wp:inline distT="0" distB="0" distL="0" distR="0">
            <wp:extent cx="6035040" cy="4008499"/>
            <wp:effectExtent t="0" r="0" b="0" l="0"/>
            <wp:docPr id="18" name="ts" descr="Lake area from the fusion model (3-seed ensemble) at the three sites (points coloured by source: optical clear, optical cloudy, radar only; black line: 3-point rolling median). Red dashed lines: events at that site; pink: events at the other sites." title="Lake area from the fusion model (3-seed ensemble) at the t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4008499"/>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Lake area from the fusion model (3-seed ensemble) at the three sites (points coloured by source: optical clear, optical cloudy, radar only; black line: 3-point rolling median). Red dashed lines: events at that site; pink: events at the other sites.</w:t>
      </w:r>
    </w:p>
    <w:p>
      <w:pPr>
        <w:keepNext/>
        <w:spacing w:after="40" w:before="160"/>
        <w:jc w:val="center"/>
      </w:pPr>
      <w:r>
        <w:rPr>
          <w:rFonts w:ascii="Times New Roman" w:cs="Times New Roman" w:eastAsia="Times New Roman" w:hAnsi="Times New Roman"/>
          <w:sz w:val="18"/>
          <w:szCs w:val="18"/>
        </w:rPr>
        <w:t xml:space="preserve">TABLE XVII</w:t>
      </w:r>
    </w:p>
    <w:p>
      <w:pPr>
        <w:keepNext/>
        <w:spacing w:after="80"/>
        <w:jc w:val="center"/>
      </w:pPr>
      <w:r>
        <w:rPr>
          <w:rFonts w:ascii="Times New Roman" w:cs="Times New Roman" w:eastAsia="Times New Roman" w:hAnsi="Times New Roman"/>
          <w:sz w:val="16"/>
          <w:szCs w:val="16"/>
        </w:rPr>
        <w:t xml:space="preserve">SUMMARY OF LAKE-AREA TIME SERIES (FUSION ENSEMBLE; AREAS READ FROM THE SERIES IN THE CORRESPONDING FIGURE)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1927"/>
        <w:gridCol w:w="2891"/>
        <w:gridCol w:w="3471"/>
      </w:tblGrid>
      <w:tr>
        <w:trPr>
          <w:cantSplit/>
          <w:tblHeader/>
        </w:trPr>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optical clear / cloudy / radar-only</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area before event (fusion ensemble)</w:t>
            </w:r>
          </w:p>
        </w:tc>
        <w:tc>
          <w:tcPr>
            <w:tcW w:type="dxa" w:w="347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After event</w:t>
            </w:r>
          </w:p>
        </w:tc>
      </w:tr>
      <w:tr>
        <w:trPr>
          <w:cantSplit/>
          <w:tblHeader w:val="off"/>
        </w:trPr>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56 / 65 / 94</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0.02 km² (Apr 2020); ≈ 0.02–0.04 km² (Mar–Apr 2022)</w:t>
            </w:r>
          </w:p>
        </w:tc>
        <w:tc>
          <w:tcPr>
            <w:tcW w:type="dxa" w:w="347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 on all dates after 29 May 2020 and after 7 May 2022 (one cloudy-date detection of ≈ 0.024 km² in Jun 2022)</w:t>
            </w:r>
          </w:p>
        </w:tc>
      </w:tr>
      <w:tr>
        <w:trPr>
          <w:cantSplit/>
          <w:tblHeader w:val="off"/>
        </w:trPr>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127 / 121 / 65</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0.01–0.02 km² (May–Jun 2017)</w:t>
            </w:r>
          </w:p>
        </w:tc>
        <w:tc>
          <w:tcPr>
            <w:tcW w:type="dxa" w:w="347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 after Jul 2017; only isolated detections &lt; 0.01 km² in later years</w:t>
            </w:r>
          </w:p>
        </w:tc>
      </w:tr>
      <w:tr>
        <w:trPr>
          <w:cantSplit/>
          <w:tblHeader w:val="off"/>
        </w:trPr>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67 / 54 / 81</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0.10–0.15 km² on most dates (no event)</w:t>
            </w:r>
          </w:p>
        </w:tc>
        <w:tc>
          <w:tcPr>
            <w:tcW w:type="dxa" w:w="347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10</w:t>
      </w:r>
      <w:r>
        <w:rPr>
          <w:rFonts w:ascii="Times New Roman" w:cs="Times New Roman" w:eastAsia="Times New Roman" w:hAnsi="Times New Roman"/>
        </w:rPr>
        <w:t xml:space="preserve"> plots the main hazard index of all three sites against days relative to each event, and </w:t>
      </w:r>
      <w:r>
        <w:rPr>
          <w:rFonts w:ascii="Times New Roman" w:cs="Times New Roman" w:eastAsia="Times New Roman" w:hAnsi="Times New Roman"/>
        </w:rPr>
        <w:t xml:space="preserve">Table XVIII</w:t>
      </w:r>
      <w:r>
        <w:rPr>
          <w:rFonts w:ascii="Times New Roman" w:cs="Times New Roman" w:eastAsia="Times New Roman" w:hAnsi="Times New Roman"/>
        </w:rPr>
        <w:t xml:space="preserve"> reports its mean and maximum over the 90 days before each event. The event site did </w:t>
      </w:r>
      <w:r>
        <w:rPr>
          <w:rFonts w:ascii="Times New Roman" w:cs="Times New Roman" w:eastAsia="Times New Roman" w:hAnsi="Times New Roman"/>
          <w:b/>
          <w:bCs/>
        </w:rPr>
        <w:t xml:space="preserve">not</w:t>
      </w:r>
      <w:r>
        <w:rPr>
          <w:rFonts w:ascii="Times New Roman" w:cs="Times New Roman" w:eastAsia="Times New Roman" w:hAnsi="Times New Roman"/>
        </w:rPr>
        <w:t xml:space="preserve"> score highest in any window: Borith Lake had the highest mean and maximum before the Shishper 2020 event (0.479 and 0.626, against 0.200 and 0.313 for Shishper), before the Shishper 2022 GLOF (0.419 and 0.864, against 0.223 and 0.470) and before the Khurdopin 2017 drainage (0.453 and 0.516, against 0.193 and 0.243 for Khurdopin). Shishper's index nevertheless rose clearly above its baseline in the weeks before both of its events, peaking about 22 days before the 2022 GLOF.</w:t>
      </w:r>
    </w:p>
    <w:p>
      <w:pPr>
        <w:keepNext/>
        <w:spacing w:after="60" w:before="120"/>
        <w:jc w:val="center"/>
      </w:pPr>
      <w:r>
        <w:drawing>
          <wp:inline distT="0" distB="0" distL="0" distR="0">
            <wp:extent cx="6035040" cy="1315632"/>
            <wp:effectExtent t="0" r="0" b="0" l="0"/>
            <wp:docPr id="19" name="hz" descr="Main hazard index (area, growth and slope, min–max normalised across all sites) of the three sites in the 90 days before and 45 days after each documented event (3-point rolling mean)." title="Main hazard index (area, growth and slope, min–max norm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1315632"/>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Main hazard index (area, growth and slope, min–max normalised across all sites) of the three sites in the 90 days before and 45 days after each documented event (3-point rolling mean).</w:t>
      </w:r>
    </w:p>
    <w:p>
      <w:pPr>
        <w:spacing w:after="100" w:line="264"/>
        <w:ind w:firstLine="284"/>
        <w:jc w:val="both"/>
      </w:pPr>
      <w:r>
        <w:rPr>
          <w:rFonts w:ascii="Times New Roman" w:cs="Times New Roman" w:eastAsia="Times New Roman" w:hAnsi="Times New Roman"/>
          <w:b/>
          <w:bCs/>
        </w:rPr>
        <w:t xml:space="preserve">Exploratory follow-up.</w:t>
      </w:r>
      <w:r>
        <w:rPr>
          <w:rFonts w:ascii="Times New Roman" w:cs="Times New Roman" w:eastAsia="Times New Roman" w:hAnsi="Times New Roman"/>
        </w:rPr>
        <w:t xml:space="preserve"> Because the main index compares absolute lake areas across lakes, we added — after seeing the result above — a per-lake index that compares each lake with its own normal state (mean of the within-lake z-scores of smoothed area and positive growth; slope omitted). This analysis was not planned and is reported as exploratory. With it, the event lake reaches the highest maximum in all three windows (</w:t>
      </w:r>
      <w:r>
        <w:rPr>
          <w:rFonts w:ascii="Times New Roman" w:cs="Times New Roman" w:eastAsia="Times New Roman" w:hAnsi="Times New Roman"/>
        </w:rPr>
        <w:t xml:space="preserve">Table XVIII</w:t>
      </w:r>
      <w:r>
        <w:rPr>
          <w:rFonts w:ascii="Times New Roman" w:cs="Times New Roman" w:eastAsia="Times New Roman" w:hAnsi="Times New Roman"/>
        </w:rPr>
        <w:t xml:space="preserve">, </w:t>
      </w:r>
      <w:r>
        <w:rPr>
          <w:rFonts w:ascii="Times New Roman" w:cs="Times New Roman" w:eastAsia="Times New Roman" w:hAnsi="Times New Roman"/>
        </w:rPr>
        <w:t xml:space="preserve">Fig. 11</w:t>
      </w:r>
      <w:r>
        <w:rPr>
          <w:rFonts w:ascii="Times New Roman" w:cs="Times New Roman" w:eastAsia="Times New Roman" w:hAnsi="Times New Roman"/>
        </w:rPr>
        <w:t xml:space="preserve">): Shishper 4.446 before the 2020 event (Borith 1.172), Shishper 7.079 before the 2022 GLOF (Borith 3.231) and Khurdopin 17.619 before the 2017 drainage (Borith 0.439). The event lake also has the highest mean before the 2022 and 2017 events, but not before the 2020 event (Borith 0.153 against −0.015). The peaks occur about 40 days (Shishper 2020), 22 days (Shishper 2022) and 55 days (Khurdopin 2017) before the events.</w:t>
      </w:r>
    </w:p>
    <w:p>
      <w:pPr>
        <w:keepNext/>
        <w:spacing w:after="60" w:before="120"/>
        <w:jc w:val="center"/>
      </w:pPr>
      <w:r>
        <w:drawing>
          <wp:inline distT="0" distB="0" distL="0" distR="0">
            <wp:extent cx="6035040" cy="1314897"/>
            <wp:effectExtent t="0" r="0" b="0" l="0"/>
            <wp:docPr id="20" name="hzsite" descr="Exploratory per-lake hazard index (within-lake z-scores of area and positive growth) of the three sites around each documented event (3-point rolling mean)." title="Exploratory per-lake hazard index (within-lake z-scores of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1314897"/>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11. </w:t>
      </w:r>
      <w:r>
        <w:rPr>
          <w:rFonts w:ascii="Times New Roman" w:cs="Times New Roman" w:eastAsia="Times New Roman" w:hAnsi="Times New Roman"/>
          <w:sz w:val="18"/>
          <w:szCs w:val="18"/>
        </w:rPr>
        <w:t xml:space="preserve">Exploratory per-lake hazard index (within-lake z-scores of area and positive growth) of the three sites around each documented event (3-point rolling mean).</w:t>
      </w:r>
    </w:p>
    <w:p>
      <w:pPr>
        <w:keepNext/>
        <w:spacing w:after="40" w:before="160"/>
        <w:jc w:val="center"/>
      </w:pPr>
      <w:r>
        <w:rPr>
          <w:rFonts w:ascii="Times New Roman" w:cs="Times New Roman" w:eastAsia="Times New Roman" w:hAnsi="Times New Roman"/>
          <w:sz w:val="18"/>
          <w:szCs w:val="18"/>
        </w:rPr>
        <w:t xml:space="preserve">TABLE XVIII</w:t>
      </w:r>
    </w:p>
    <w:p>
      <w:pPr>
        <w:keepNext/>
        <w:spacing w:after="80"/>
        <w:jc w:val="center"/>
      </w:pPr>
      <w:r>
        <w:rPr>
          <w:rFonts w:ascii="Times New Roman" w:cs="Times New Roman" w:eastAsia="Times New Roman" w:hAnsi="Times New Roman"/>
          <w:sz w:val="16"/>
          <w:szCs w:val="16"/>
        </w:rPr>
        <w:t xml:space="preserve">HAZARD INDICES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831"/>
        <w:gridCol w:w="1445"/>
        <w:gridCol w:w="1445"/>
        <w:gridCol w:w="1638"/>
        <w:gridCol w:w="1641"/>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Event window (90 d before)</w:t>
            </w:r>
          </w:p>
        </w:tc>
        <w:tc>
          <w:tcPr>
            <w:tcW w:type="dxa" w:w="18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Site</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Main index: mean</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Main index: max</w:t>
            </w:r>
          </w:p>
        </w:tc>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Per-lake index: mean</w:t>
            </w:r>
          </w:p>
        </w:tc>
        <w:tc>
          <w:tcPr>
            <w:tcW w:type="dxa" w:w="164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Per-lake index: max</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2017</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Khurdopin (event)</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0.193</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0.243</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0.781</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17.619</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Shishper</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0.185</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0.185</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−0.233</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−0.233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Passu (Borith)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0.453</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0.516</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0.009</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0.439</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Shishper 2020</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Shishper (event)</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0.200</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0.313</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−0.015</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4.446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Khurdopin</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0.192</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0.276</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−0.050</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0.179</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Passu (Borith)</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0.479</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0.626</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0.153</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1.172</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Shishper 2022</w:t>
            </w: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Shishper (event)</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0.223</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0.470</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0.660</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7.079</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Khurdopin</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0.185</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0.185</w:t>
            </w:r>
          </w:p>
        </w:tc>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−0.061</w:t>
            </w:r>
          </w:p>
        </w:tc>
        <w:tc>
          <w:tcPr>
            <w:tcW w:type="dxa" w:w="164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−0.061</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18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Passu (Borith)</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0.419</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0.864</w:t>
            </w:r>
          </w:p>
        </w:tc>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−0.229</w:t>
            </w:r>
          </w:p>
        </w:tc>
        <w:tc>
          <w:tcPr>
            <w:tcW w:type="dxa" w:w="164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3.231</w:t>
            </w:r>
          </w:p>
        </w:tc>
      </w:tr>
    </w:tbl>
    <w:p>
      <w:pPr>
        <w:spacing w:after="160" w:before="40"/>
      </w:pPr>
      <w:r>
        <w:rPr>
          <w:rFonts w:ascii="Times New Roman" w:cs="Times New Roman" w:eastAsia="Times New Roman" w:hAnsi="Times New Roman"/>
          <w:i w:val="false"/>
          <w:iCs w:val="false"/>
          <w:sz w:val="16"/>
          <w:szCs w:val="16"/>
        </w:rPr>
        <w:t xml:space="preserve">Highest value per event window and index in bold. Per-lake index: exploratory analysis added after the main result.</w:t>
      </w:r>
    </w:p>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XIX</w:t>
      </w:r>
      <w:r>
        <w:rPr>
          <w:rFonts w:ascii="Times New Roman" w:cs="Times New Roman" w:eastAsia="Times New Roman" w:hAnsi="Times New Roman"/>
        </w:rPr>
        <w:t xml:space="preserve"> lists model size and run times. The three models have practically the same size — they differ only in the number of input channels of the first convolution — and train in about three minutes per seed on a T4 GPU, so the accuracy and stability gained by fusion come at no meaningful computational cost (5% longer training, 2.5 ms more per image). The full experiment (nine training runs, evaluation and time series) runs in about 35 minutes on a free Colab GPU; on a 4-thread laptop CPU a training step takes about 2.6 s, which makes CPU training impractical.</w:t>
      </w:r>
    </w:p>
    <w:p>
      <w:pPr>
        <w:keepNext/>
        <w:spacing w:after="40" w:before="160"/>
        <w:jc w:val="center"/>
      </w:pPr>
      <w:r>
        <w:rPr>
          <w:rFonts w:ascii="Times New Roman" w:cs="Times New Roman" w:eastAsia="Times New Roman" w:hAnsi="Times New Roman"/>
          <w:sz w:val="18"/>
          <w:szCs w:val="18"/>
        </w:rPr>
        <w:t xml:space="preserve">TABLE XIX</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1927"/>
        <w:gridCol w:w="1927"/>
        <w:gridCol w:w="1929"/>
      </w:tblGrid>
      <w:tr>
        <w:trPr>
          <w:cantSplit/>
          <w:tblHeader/>
        </w:trPr>
        <w:tc>
          <w:tcPr>
            <w:tcW w:type="dxa" w:w="385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Radar-only</w:t>
            </w:r>
          </w:p>
        </w:tc>
        <w:tc>
          <w:tcPr>
            <w:tcW w:type="dxa" w:w="192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14,331,345</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per seed, 3,000 iterations (T4 GPU)</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3.11 ± 0.02 min</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3.10 ± 0.00 min</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3.25 ± 0.00 min</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(T4 GPU)</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26.3 ms</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26.0 ms</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28.8 ms</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Peak GPU memory during training*</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0.83 GB</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1.18 GB</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1.53 GB</w:t>
            </w:r>
          </w:p>
        </w:tc>
      </w:tr>
      <w:tr>
        <w:trPr>
          <w:cantSplit/>
          <w:tblHeader w:val="off"/>
        </w:trPr>
        <w:tc>
          <w:tcPr>
            <w:tcW w:type="dxa" w:w="385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192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385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92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before="40"/>
      </w:pPr>
      <w:r>
        <w:rPr>
          <w:rFonts w:ascii="Times New Roman" w:cs="Times New Roman" w:eastAsia="Times New Roman" w:hAnsi="Times New Roman"/>
          <w:i w:val="false"/>
          <w:iCs w:val="false"/>
          <w:sz w:val="16"/>
          <w:szCs w:val="16"/>
        </w:rPr>
        <w:t xml:space="preserve">*Peak memory was measured while models trained earlier in the same session were still held in GPU memory, so it increases with training order (optical, radar, fusion) and overstates the per-model requirement.</w:t>
      </w:r>
    </w:p>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rPr>
        <w:t xml:space="preserve">The fusion model achieved the best segmentation at every site and on every metric under clear conditions (pixel-pooled IoU 0.778 ± 0.005, F1 0.875), ahead of the optical-only (0.521 ± 0.214) and radar-only (0.487 ± 0.007) models, and it was the most stable across seeds. With all optical inputs removed it retained an IoU of 0.503, slightly above the radar-only model, while the optical-only model failed; no model detected the small event lakes from radar alone (RQ1). The fusion-ensemble time series reproduced the timing of the Shishper drainages of May 2020 and May 2022 and the Khurdopin drainage of July 2017 (RQ2). The main hazard index ranked the comparison lake highest in all three pre-event windows, whereas an exploratory per-lake index peaked at the event lake before all three events (RQ3).</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7b87be2ddc1dec98f907201dad403748f1721d.png"/><Relationship Id="rId9" Type="http://schemas.openxmlformats.org/officeDocument/2006/relationships/image" Target="media/2274579d2815455affbfd1a20568fc70fe21b692.png"/><Relationship Id="rId10" Type="http://schemas.openxmlformats.org/officeDocument/2006/relationships/image" Target="media/c0521c4f3b2e15e86dbca27fe040abefa936ab0b.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image" Target="media/9391cbd71a3e93d0d6c3994167652631abe0767b.png"/><Relationship Id="rId15" Type="http://schemas.openxmlformats.org/officeDocument/2006/relationships/image" Target="media/437634c9f6f7b6ac084fbbe2db6a8e286f22d48d.png"/><Relationship Id="rId16" Type="http://schemas.openxmlformats.org/officeDocument/2006/relationships/image" Target="media/4b02014fd71fd22034562b5cc480ee3668fbb526.png"/><Relationship Id="rId17" Type="http://schemas.openxmlformats.org/officeDocument/2006/relationships/image" Target="media/825e6cf666d477c9b31a4d42330e893fe8135736.png"/><Relationship Id="rId18" Type="http://schemas.openxmlformats.org/officeDocument/2006/relationships/image" Target="media/6c860dd328c42737e844df01c4fa69b27bf56f9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3 — Paper up to Experiments and Results</dc:title>
  <dc:creator>Muhammad Ali Saleem, Junaid Minhas, Safee Akmal</dc:creator>
  <cp:lastModifiedBy>Un-named</cp:lastModifiedBy>
  <cp:revision>1</cp:revision>
  <dcterms:created xsi:type="dcterms:W3CDTF">2026-10-04T11:54:45.315Z</dcterms:created>
  <dcterms:modified xsi:type="dcterms:W3CDTF">2026-10-04T11:54:45.315Z</dcterms:modified>
</cp:coreProperties>
</file>

<file path=docProps/custom.xml><?xml version="1.0" encoding="utf-8"?>
<Properties xmlns="http://schemas.openxmlformats.org/officeDocument/2006/custom-properties" xmlns:vt="http://schemas.openxmlformats.org/officeDocument/2006/docPropsVTypes"/>
</file>