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2 — Methodology and Experimental Setup</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under the title and in the training-configuration table (GPU model from !nvidia-smi in Colab).</w:t>
            </w:r>
          </w:p>
          <w:p>
            <w:pPr>
              <w:spacing w:after="50"/>
              <w:jc w:val="left"/>
            </w:pPr>
            <w:r>
              <w:rPr>
                <w:rFonts w:ascii="Times New Roman" w:cs="Times New Roman" w:eastAsia="Times New Roman" w:hAnsi="Times New Roman"/>
                <w:sz w:val="19"/>
                <w:szCs w:val="19"/>
              </w:rPr>
              <w:t xml:space="preserve">This document contains Section III (Methodology and Experimental Setup) with the required subsections: Proposed Methodology, Model Architecture, Dataset and Preprocessing, Training Configuration and Evaluation Metrics. It describes exactly what notebooks/glof_pipeline.ipynb does.</w:t>
            </w:r>
          </w:p>
          <w:p>
            <w:pPr>
              <w:spacing w:after="50"/>
              <w:jc w:val="left"/>
            </w:pPr>
            <w:r>
              <w:rPr>
                <w:rFonts w:ascii="Times New Roman" w:cs="Times New Roman" w:eastAsia="Times New Roman" w:hAnsi="Times New Roman"/>
                <w:sz w:val="19"/>
                <w:szCs w:val="19"/>
              </w:rPr>
              <w:t xml:space="preserve">Section numbering (III) matches the complete paper; if your instructor wants it numbered as 3, change the heading only.</w:t>
            </w:r>
          </w:p>
        </w:tc>
      </w:tr>
    </w:tbl>
    <w:p>
      <w:pPr>
        <w:spacing w:after="120"/>
      </w:pP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[1]</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5"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[6]</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6"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[7]</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II</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7"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[10]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[11]</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[12]</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[13]</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IV</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[14]</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8"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[12]</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[15]</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9"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VI</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[16]</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[17]</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[18]</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[19]</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on the valid (non-cloud) pixels of the test images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Many test images contain no lake water (Khurdopin after 2017, Shishper after each drainage); per-image IoU is undefined for them, and averaging it would score a correct "no water" prediction as zero. The main results are therefore </w:t>
      </w:r>
      <w:r>
        <w:rPr>
          <w:rFonts w:ascii="Times New Roman" w:cs="Times New Roman" w:eastAsia="Times New Roman" w:hAnsi="Times New Roman"/>
          <w:b/>
          <w:bCs/>
        </w:rPr>
        <w:t xml:space="preserve">pixel-pooled</w:t>
      </w:r>
      <w:r>
        <w:rPr>
          <w:rFonts w:ascii="Times New Roman" w:cs="Times New Roman" w:eastAsia="Times New Roman" w:hAnsi="Times New Roman"/>
        </w:rPr>
        <w:t xml:space="preserve"> metrics, for which TP, FP and FN are summed over all test pixels of a site (or of all sites) before the metric is computed. In addition, per-image metrics are reported as mean ± standard deviation over the test images that contain water, and the false-positive area is reported for test images without water.</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[20]</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2 — Methodology and Experimental Setup</dc:title>
  <dc:creator>Muhammad Ali Saleem, Junaid Minhas, Safee Akmal</dc:creator>
  <cp:lastModifiedBy>Un-named</cp:lastModifiedBy>
  <cp:revision>1</cp:revision>
  <dcterms:created xsi:type="dcterms:W3CDTF">2026-10-03T22:31:30.644Z</dcterms:created>
  <dcterms:modified xsi:type="dcterms:W3CDTF">2026-10-03T22:31:30.644Z</dcterms:modified>
</cp:coreProperties>
</file>

<file path=docProps/custom.xml><?xml version="1.0" encoding="utf-8"?>
<Properties xmlns="http://schemas.openxmlformats.org/officeDocument/2006/custom-properties" xmlns:vt="http://schemas.openxmlformats.org/officeDocument/2006/docPropsVTypes"/>
</file>