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Dataset Description and Data Sources</w:t>
      </w:r>
    </w:p>
    <w:p>
      <w:pPr>
        <w:spacing w:after="160"/>
        <w:jc w:val="center"/>
      </w:pPr>
      <w:r>
        <w:rPr>
          <w:rFonts w:ascii="Times New Roman" w:cs="Times New Roman" w:eastAsia="Times New Roman" w:hAnsi="Times New Roman"/>
          <w:i/>
          <w:iCs/>
          <w:sz w:val="22"/>
          <w:szCs w:val="22"/>
        </w:rPr>
        <w:t xml:space="preserve">Multi-Sensor Deep Learning Fusion for Glacial Lake Tracking and GLOF Hazard Assessment in the Hunza Valley, Gilgit-Baltistan</w:t>
      </w:r>
    </w:p>
    <w:p>
      <w:pPr>
        <w:spacing w:after="40"/>
        <w:jc w:val="center"/>
      </w:pPr>
      <w:r>
        <w:rPr>
          <w:rFonts w:ascii="Times New Roman" w:cs="Times New Roman" w:eastAsia="Times New Roman" w:hAnsi="Times New Roman"/>
          <w:sz w:val="22"/>
          <w:szCs w:val="22"/>
        </w:rPr>
        <w:t xml:space="preserve">Muhammad Ali Saleem, Junaid Minhas, and Safee Akmal</w:t>
      </w:r>
    </w:p>
    <w:p>
      <w:pPr>
        <w:spacing w:after="40"/>
        <w:jc w:val="center"/>
      </w:pPr>
      <w:r>
        <w:rPr>
          <w:rFonts w:ascii="Times New Roman" w:cs="Times New Roman" w:eastAsia="Times New Roman" w:hAnsi="Times New Roman"/>
          <w:i/>
          <w:iCs/>
          <w:sz w:val="19"/>
          <w:szCs w:val="19"/>
        </w:rPr>
        <w:t xml:space="preserve">Deep Learning for Perception — Semester Research Project, </w:t>
      </w:r>
      <w:r>
        <w:rPr>
          <w:rFonts w:ascii="Times New Roman" w:cs="Times New Roman" w:eastAsia="Times New Roman" w:hAnsi="Times New Roman"/>
          <w:b/>
          <w:bCs/>
          <w:i/>
          <w:iCs/>
          <w:sz w:val="19"/>
          <w:szCs w:val="19"/>
          <w:highlight w:val="yellow"/>
        </w:rPr>
        <w:t xml:space="preserve">[FILL: Department, University]</w:t>
      </w:r>
    </w:p>
    <w:p>
      <w:pPr>
        <w:spacing w:after="240"/>
        <w:jc w:val="center"/>
      </w:pPr>
      <w:r>
        <w:rPr>
          <w:rFonts w:ascii="Times New Roman" w:cs="Times New Roman" w:eastAsia="Times New Roman" w:hAnsi="Times New Roman"/>
          <w:b/>
          <w:bCs/>
          <w:sz w:val="19"/>
          <w:szCs w:val="19"/>
          <w:highlight w:val="yellow"/>
        </w:rPr>
        <w:t xml:space="preserve">[FILL: email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Before you submit — delete this box</w:t>
            </w:r>
          </w:p>
          <w:p>
            <w:pPr>
              <w:spacing w:after="50"/>
              <w:jc w:val="left"/>
            </w:pPr>
            <w:r>
              <w:rPr>
                <w:rFonts w:ascii="Times New Roman" w:cs="Times New Roman" w:eastAsia="Times New Roman" w:hAnsi="Times New Roman"/>
                <w:sz w:val="19"/>
                <w:szCs w:val="19"/>
              </w:rPr>
              <w:t xml:space="preserve">Fill the yellow placeholders under the title. All counts, dates and figures in this document come from the real data downloaded for the project (Google Earth Engine, 730 dates).</w:t>
            </w:r>
          </w:p>
          <w:p>
            <w:pPr>
              <w:spacing w:after="50"/>
              <w:jc w:val="left"/>
            </w:pPr>
            <w:r>
              <w:rPr>
                <w:rFonts w:ascii="Times New Roman" w:cs="Times New Roman" w:eastAsia="Times New Roman" w:hAnsi="Times New Roman"/>
                <w:sz w:val="19"/>
                <w:szCs w:val="19"/>
              </w:rPr>
              <w:t xml:space="preserve">If you re-run the notebook and your counts differ, update Tables IV and V accordingly (notebook sections 4–6 print them).</w:t>
            </w:r>
          </w:p>
        </w:tc>
      </w:tr>
    </w:tbl>
    <w:p>
      <w:pPr>
        <w:spacing w:after="120"/>
      </w:pPr>
    </w:p>
    <w:p>
      <w:pPr>
        <w:pStyle w:val="Heading1"/>
        <w:keepNext/>
        <w:spacing w:after="120" w:before="240"/>
        <w:jc w:val="center"/>
      </w:pPr>
      <w:r>
        <w:rPr>
          <w:rFonts w:ascii="Times New Roman" w:cs="Times New Roman" w:eastAsia="Times New Roman" w:hAnsi="Times New Roman"/>
          <w:sz w:val="22"/>
          <w:szCs w:val="22"/>
        </w:rPr>
        <w:t xml:space="preserve">I. OVERVIEW</w:t>
      </w:r>
    </w:p>
    <w:p>
      <w:pPr>
        <w:spacing w:after="100" w:line="264"/>
        <w:ind w:firstLine="284"/>
        <w:jc w:val="both"/>
      </w:pPr>
      <w:r>
        <w:rPr>
          <w:rFonts w:ascii="Times New Roman" w:cs="Times New Roman" w:eastAsia="Times New Roman" w:hAnsi="Times New Roman"/>
        </w:rPr>
        <w:t xml:space="preserve">This project detects and tracks glacial lakes in the Hunza basin, Gilgit-Baltistan, Pakistan, by fusing synthetic aperture radar (SAR), optical and terrain data, and uses the resulting lake-area time series in a transparent GLOF hazard index. Three sites are studied: the ice-dammed Shishper lake and the surge-dammed Khurdopin lake, both with documented outbursts, and Borith Lake next to Passu Glacier as a comparison site without an outburst in the study period. The dataset consists of (1) co-registered Sentinel-1, Sentinel-2 and Copernicus DEM rasters for every available acquisition in event-centred and seasonal windows between 2017 and 2022, (2) automatically generated water labels, and (3) documented event records used for evaluation. All sources are free and openly licensed and are accessed programmatically through Google Earth Engine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pStyle w:val="Heading1"/>
        <w:keepNext/>
        <w:spacing w:after="120" w:before="240"/>
        <w:jc w:val="center"/>
      </w:pPr>
      <w:r>
        <w:rPr>
          <w:rFonts w:ascii="Times New Roman" w:cs="Times New Roman" w:eastAsia="Times New Roman" w:hAnsi="Times New Roman"/>
          <w:sz w:val="22"/>
          <w:szCs w:val="22"/>
        </w:rPr>
        <w:t xml:space="preserve">II. STUDY AREA</w:t>
      </w:r>
    </w:p>
    <w:p>
      <w:pPr>
        <w:spacing w:after="100" w:line="264"/>
        <w:ind w:firstLine="284"/>
        <w:jc w:val="both"/>
      </w:pPr>
      <w:r>
        <w:rPr>
          <w:rFonts w:ascii="Times New Roman" w:cs="Times New Roman" w:eastAsia="Times New Roman" w:hAnsi="Times New Roman"/>
        </w:rPr>
        <w:t xml:space="preserve">Each site is a 448 × 448 pixel box (4.48 × 4.48 km) at 10 m resolution in UTM zone 43N (EPSG:32643), centred on the lake (</w:t>
      </w:r>
      <w:r>
        <w:rPr>
          <w:rFonts w:ascii="Times New Roman" w:cs="Times New Roman" w:eastAsia="Times New Roman" w:hAnsi="Times New Roman"/>
        </w:rPr>
        <w:t xml:space="preserve">Table I</w:t>
      </w:r>
      <w:r>
        <w:rPr>
          <w:rFonts w:ascii="Times New Roman" w:cs="Times New Roman" w:eastAsia="Times New Roman" w:hAnsi="Times New Roman"/>
        </w:rPr>
        <w:t xml:space="preserve">, </w:t>
      </w:r>
      <w:r>
        <w:rPr>
          <w:rFonts w:ascii="Times New Roman" w:cs="Times New Roman" w:eastAsia="Times New Roman" w:hAnsi="Times New Roman"/>
        </w:rPr>
        <w:t xml:space="preserve">Fig. 1</w:t>
      </w:r>
      <w:r>
        <w:rPr>
          <w:rFonts w:ascii="Times New Roman" w:cs="Times New Roman" w:eastAsia="Times New Roman" w:hAnsi="Times New Roman"/>
        </w:rPr>
        <w:t xml:space="preserve">). The lake centres were located on Sentinel-2 imagery. For the Passu comparison site, inspection of 2017–2022 imagery showed no persistent lake at the Passu Glacier terminus; Borith Lake, the perennial lake immediately south of the terminus, is therefore used.</w:t>
      </w:r>
    </w:p>
    <w:p>
      <w:pPr>
        <w:keepNext/>
        <w:spacing w:after="4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STUDY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231"/>
        <w:gridCol w:w="1521"/>
        <w:gridCol w:w="3347"/>
        <w:gridCol w:w="1221"/>
      </w:tblGrid>
      <w:tr>
        <w:trPr>
          <w:cantSplit/>
          <w:tblHeader/>
        </w:trPr>
        <w:tc>
          <w:tcPr>
            <w:tcW w:type="dxa" w:w="13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22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type</w:t>
            </w:r>
          </w:p>
        </w:tc>
        <w:tc>
          <w:tcPr>
            <w:tcW w:type="dxa" w:w="15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Centre (lat, lon)</w:t>
            </w:r>
          </w:p>
        </w:tc>
        <w:tc>
          <w:tcPr>
            <w:tcW w:type="dxa" w:w="33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Documented event(s)</w:t>
            </w:r>
          </w:p>
        </w:tc>
        <w:tc>
          <w:tcPr>
            <w:tcW w:type="dxa" w:w="12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Role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Ice-dammed (surging glacier blocks a side valley)</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36.358°N, 74.568°E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Repeated drainage from 2019 </w:t>
            </w:r>
            <w:r>
              <w:rPr>
                <w:rFonts w:ascii="Times New Roman" w:cs="Times New Roman" w:eastAsia="Times New Roman" w:hAnsi="Times New Roman"/>
                <w:b w:val="false"/>
                <w:bCs w:val="false"/>
                <w:sz w:val="16"/>
                <w:szCs w:val="16"/>
              </w:rPr>
              <w:t xml:space="preserve">[2]</w:t>
            </w:r>
            <w:r>
              <w:rPr>
                <w:rFonts w:ascii="Times New Roman" w:cs="Times New Roman" w:eastAsia="Times New Roman" w:hAnsi="Times New Roman"/>
                <w:b w:val="false"/>
                <w:bCs w:val="false"/>
                <w:sz w:val="16"/>
                <w:szCs w:val="16"/>
              </w:rPr>
              <w:t xml:space="preserve">; 29 May 2020; 7 May 2022 </w:t>
            </w:r>
            <w:r>
              <w:rPr>
                <w:rFonts w:ascii="Times New Roman" w:cs="Times New Roman" w:eastAsia="Times New Roman" w:hAnsi="Times New Roman"/>
                <w:b w:val="false"/>
                <w:bCs w:val="false"/>
                <w:sz w:val="16"/>
                <w:szCs w:val="16"/>
              </w:rPr>
              <w:t xml:space="preserve">[3]</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Surge-dammed (Shimshal River)</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36.361°N, 75.449°E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Formed Mar 2017; drainage onset ≈ 21 Jul 2017, drained by 3 Aug 2017 </w:t>
            </w:r>
            <w:r>
              <w:rPr>
                <w:rFonts w:ascii="Times New Roman" w:cs="Times New Roman" w:eastAsia="Times New Roman" w:hAnsi="Times New Roman"/>
                <w:b w:val="false"/>
                <w:bCs w:val="false"/>
                <w:sz w:val="16"/>
                <w:szCs w:val="16"/>
              </w:rPr>
              <w:t xml:space="preserve">[4]</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 Lake)</w:t>
            </w:r>
          </w:p>
        </w:tc>
        <w:tc>
          <w:tcPr>
            <w:tcW w:type="dxa" w:w="22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Perennial lake beside Passu Glacier</w:t>
            </w:r>
          </w:p>
        </w:tc>
        <w:tc>
          <w:tcPr>
            <w:tcW w:type="dxa" w:w="15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36.432°N, 74.862°E</w:t>
            </w:r>
          </w:p>
        </w:tc>
        <w:tc>
          <w:tcPr>
            <w:tcW w:type="dxa" w:w="334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outburst during 2017–2022</w:t>
            </w:r>
          </w:p>
        </w:tc>
        <w:tc>
          <w:tcPr>
            <w:tcW w:type="dxa" w:w="12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Comparison site</w:t>
            </w:r>
          </w:p>
        </w:tc>
      </w:tr>
    </w:tbl>
    <w:p>
      <w:pPr>
        <w:spacing w:after="160"/>
      </w:pPr>
    </w:p>
    <w:p>
      <w:pPr>
        <w:keepNext/>
        <w:spacing w:after="60" w:before="120"/>
        <w:jc w:val="center"/>
      </w:pPr>
      <w:r>
        <w:drawing>
          <wp:inline distT="0" distB="0" distL="0" distR="0">
            <wp:extent cx="5852160" cy="2275840"/>
            <wp:effectExtent t="0" r="0" b="0" l="0"/>
            <wp:docPr id="1" name="study" descr="The three study boxes in Sentinel-2 true colour. The cross marks the lake point used to separate the lake from other water when measuring its area." title="The three study boxes in Sentinel-2 true colour. The cross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27584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 </w:t>
      </w:r>
      <w:r>
        <w:rPr>
          <w:rFonts w:ascii="Times New Roman" w:cs="Times New Roman" w:eastAsia="Times New Roman" w:hAnsi="Times New Roman"/>
          <w:sz w:val="18"/>
          <w:szCs w:val="18"/>
        </w:rPr>
        <w:t xml:space="preserve">The three study boxes in Sentinel-2 true colour. The cross marks the lake point used to separate the lake from other water when measuring its area.</w:t>
      </w:r>
    </w:p>
    <w:p>
      <w:pPr>
        <w:pStyle w:val="Heading1"/>
        <w:keepNext/>
        <w:spacing w:after="120" w:before="240"/>
        <w:jc w:val="center"/>
      </w:pPr>
      <w:r>
        <w:rPr>
          <w:rFonts w:ascii="Times New Roman" w:cs="Times New Roman" w:eastAsia="Times New Roman" w:hAnsi="Times New Roman"/>
          <w:sz w:val="22"/>
          <w:szCs w:val="22"/>
        </w:rPr>
        <w:t xml:space="preserve">III. RAW SATELLITE IMAGERY</w:t>
      </w:r>
    </w:p>
    <w:p>
      <w:pPr>
        <w:spacing w:after="100" w:line="264"/>
        <w:ind w:firstLine="284"/>
        <w:jc w:val="both"/>
      </w:pPr>
      <w:r>
        <w:rPr>
          <w:rFonts w:ascii="Times New Roman" w:cs="Times New Roman" w:eastAsia="Times New Roman" w:hAnsi="Times New Roman"/>
        </w:rPr>
        <w:t xml:space="preserve">Table II</w:t>
      </w:r>
      <w:r>
        <w:rPr>
          <w:rFonts w:ascii="Times New Roman" w:cs="Times New Roman" w:eastAsia="Times New Roman" w:hAnsi="Times New Roman"/>
        </w:rPr>
        <w:t xml:space="preserve"> lists the data sources. </w:t>
      </w:r>
      <w:r>
        <w:rPr>
          <w:rFonts w:ascii="Times New Roman" w:cs="Times New Roman" w:eastAsia="Times New Roman" w:hAnsi="Times New Roman"/>
          <w:b/>
          <w:bCs/>
        </w:rPr>
        <w:t xml:space="preserve">Sentinel-1 GRD</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provides a cloud-independent water signal (calm water is dark in VV and VH). Earth Engine scenes are already calibrated, terrain-corrected and in decibels; one orbit direction per site is used for consistent geometry (ascending for Shishper, descending for Khurdopin and Passu). </w:t>
      </w:r>
      <w:r>
        <w:rPr>
          <w:rFonts w:ascii="Times New Roman" w:cs="Times New Roman" w:eastAsia="Times New Roman" w:hAnsi="Times New Roman"/>
          <w:b/>
          <w:bCs/>
        </w:rPr>
        <w:t xml:space="preserve">Sentinel-2 Level-1C</w:t>
      </w:r>
      <w:r>
        <w:rPr>
          <w:rFonts w:ascii="Times New Roman" w:cs="Times New Roman" w:eastAsia="Times New Roman" w:hAnsi="Times New Roman"/>
        </w:rPr>
        <w:t xml:space="preserve"> </w:t>
      </w:r>
      <w:r>
        <w:rPr>
          <w:rFonts w:ascii="Times New Roman" w:cs="Times New Roman" w:eastAsia="Times New Roman" w:hAnsi="Times New Roman"/>
        </w:rPr>
        <w:t xml:space="preserve">[6]</w:t>
      </w:r>
      <w:r>
        <w:rPr>
          <w:rFonts w:ascii="Times New Roman" w:cs="Times New Roman" w:eastAsia="Times New Roman" w:hAnsi="Times New Roman"/>
        </w:rPr>
        <w:t xml:space="preserve"> provides the blue, green, red and near-infrared bands at 10 m; Level-1C is used instead of Level-2A because Level-2A coverage over the Karakoram is incomplete in 2017–2018, the period of the Khurdopin event. The </w:t>
      </w:r>
      <w:r>
        <w:rPr>
          <w:rFonts w:ascii="Times New Roman" w:cs="Times New Roman" w:eastAsia="Times New Roman" w:hAnsi="Times New Roman"/>
          <w:b/>
          <w:bCs/>
        </w:rPr>
        <w:t xml:space="preserve">Sentinel-2 cloud probability</w:t>
      </w:r>
      <w:r>
        <w:rPr>
          <w:rFonts w:ascii="Times New Roman" w:cs="Times New Roman" w:eastAsia="Times New Roman" w:hAnsi="Times New Roman"/>
        </w:rPr>
        <w:t xml:space="preserve"> product </w:t>
      </w:r>
      <w:r>
        <w:rPr>
          <w:rFonts w:ascii="Times New Roman" w:cs="Times New Roman" w:eastAsia="Times New Roman" w:hAnsi="Times New Roman"/>
        </w:rPr>
        <w:t xml:space="preserve">[7]</w:t>
      </w:r>
      <w:r>
        <w:rPr>
          <w:rFonts w:ascii="Times New Roman" w:cs="Times New Roman" w:eastAsia="Times New Roman" w:hAnsi="Times New Roman"/>
        </w:rPr>
        <w:t xml:space="preserve"> is used only to mask clouds, never as a label. The </w:t>
      </w:r>
      <w:r>
        <w:rPr>
          <w:rFonts w:ascii="Times New Roman" w:cs="Times New Roman" w:eastAsia="Times New Roman" w:hAnsi="Times New Roman"/>
          <w:b/>
          <w:bCs/>
        </w:rPr>
        <w:t xml:space="preserve">Copernicus DEM GLO-30</w:t>
      </w:r>
      <w:r>
        <w:rPr>
          <w:rFonts w:ascii="Times New Roman" w:cs="Times New Roman" w:eastAsia="Times New Roman" w:hAnsi="Times New Roman"/>
        </w:rPr>
        <w:t xml:space="preserve"> </w:t>
      </w:r>
      <w:r>
        <w:rPr>
          <w:rFonts w:ascii="Times New Roman" w:cs="Times New Roman" w:eastAsia="Times New Roman" w:hAnsi="Times New Roman"/>
        </w:rPr>
        <w:t xml:space="preserve">[8]</w:t>
      </w:r>
      <w:r>
        <w:rPr>
          <w:rFonts w:ascii="Times New Roman" w:cs="Times New Roman" w:eastAsia="Times New Roman" w:hAnsi="Times New Roman"/>
        </w:rPr>
        <w:t xml:space="preserve"> provides elevation and slope; it is resampled bilinearly from 30 m to the 10 m grid and is therefore not native 10 m terrain.</w:t>
      </w:r>
    </w:p>
    <w:p>
      <w:pPr>
        <w:keepNext/>
        <w:spacing w:after="4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DATA SOURCES (ALL VIA GOOGLE EARTH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3180"/>
        <w:gridCol w:w="1734"/>
        <w:gridCol w:w="1060"/>
        <w:gridCol w:w="2026"/>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w:t>
            </w:r>
          </w:p>
        </w:tc>
        <w:tc>
          <w:tcPr>
            <w:tcW w:type="dxa" w:w="318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Earth Engine collection</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Bands used</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Resolution</w:t>
            </w:r>
          </w:p>
        </w:tc>
        <w:tc>
          <w:tcPr>
            <w:tcW w:type="dxa" w:w="202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Role</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GRD </w:t>
            </w:r>
            <w:r>
              <w:rPr>
                <w:rFonts w:ascii="Times New Roman" w:cs="Times New Roman" w:eastAsia="Times New Roman" w:hAnsi="Times New Roman"/>
                <w:b w:val="false"/>
                <w:bCs w:val="false"/>
                <w:sz w:val="15"/>
                <w:szCs w:val="15"/>
              </w:rPr>
              <w:t xml:space="preserve">[5]</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COPERNICUS/S1_GRD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VV, VH (dB), IW mode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Cloud-independent water signal</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L1C </w:t>
            </w:r>
            <w:r>
              <w:rPr>
                <w:rFonts w:ascii="Times New Roman" w:cs="Times New Roman" w:eastAsia="Times New Roman" w:hAnsi="Times New Roman"/>
                <w:b w:val="false"/>
                <w:bCs w:val="false"/>
                <w:sz w:val="15"/>
                <w:szCs w:val="15"/>
              </w:rPr>
              <w:t xml:space="preserve">[6]</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COPERNICUS/S2_HARMONIZED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B2, B3, B4, B8 (TOA reflectance)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 bands, NDWI, labels</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S2 cloud probability </w:t>
            </w:r>
            <w:r>
              <w:rPr>
                <w:rFonts w:ascii="Times New Roman" w:cs="Times New Roman" w:eastAsia="Times New Roman" w:hAnsi="Times New Roman"/>
                <w:b w:val="false"/>
                <w:bCs w:val="false"/>
                <w:sz w:val="15"/>
                <w:szCs w:val="15"/>
              </w:rPr>
              <w:t xml:space="preserve">[7]</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COPERNICUS/S2_CLOUD_PROBABILITY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probability (%)</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 (from 20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 mask (not a label)</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Copernicus DEM </w:t>
            </w:r>
            <w:r>
              <w:rPr>
                <w:rFonts w:ascii="Times New Roman" w:cs="Times New Roman" w:eastAsia="Times New Roman" w:hAnsi="Times New Roman"/>
                <w:b w:val="false"/>
                <w:bCs w:val="false"/>
                <w:sz w:val="15"/>
                <w:szCs w:val="15"/>
              </w:rPr>
              <w:t xml:space="preserve">[8]</w:t>
            </w:r>
          </w:p>
        </w:tc>
        <w:tc>
          <w:tcPr>
            <w:tcW w:type="dxa" w:w="318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COPERNICUS/DEM/GLO30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Elevation; slope (derived)</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30 m → 10 m</w:t>
            </w:r>
          </w:p>
        </w:tc>
        <w:tc>
          <w:tcPr>
            <w:tcW w:type="dxa" w:w="202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Terrain channels; slope rule; hazard feature</w:t>
            </w:r>
          </w:p>
        </w:tc>
      </w:tr>
    </w:tbl>
    <w:p>
      <w:pPr>
        <w:spacing w:after="160"/>
      </w:pPr>
    </w:p>
    <w:p>
      <w:pPr>
        <w:pStyle w:val="Heading1"/>
        <w:keepNext/>
        <w:spacing w:after="120" w:before="240"/>
        <w:jc w:val="center"/>
      </w:pPr>
      <w:r>
        <w:rPr>
          <w:rFonts w:ascii="Times New Roman" w:cs="Times New Roman" w:eastAsia="Times New Roman" w:hAnsi="Times New Roman"/>
          <w:sz w:val="22"/>
          <w:szCs w:val="22"/>
        </w:rPr>
        <w:t xml:space="preserve">IV. SAMPLING STRATEGY AND DATA VOLUME</w:t>
      </w:r>
    </w:p>
    <w:p>
      <w:pPr>
        <w:spacing w:after="100" w:line="264"/>
        <w:ind w:firstLine="284"/>
        <w:jc w:val="both"/>
      </w:pPr>
      <w:r>
        <w:rPr>
          <w:rFonts w:ascii="Times New Roman" w:cs="Times New Roman" w:eastAsia="Times New Roman" w:hAnsi="Times New Roman"/>
        </w:rPr>
        <w:t xml:space="preserve">Satellites do not image the sites daily: Sentinel-2 revisits about every five days and Sentinel-1 every 6–12 days (12 days after the failure of Sentinel-1B on 23 December 2021 </w:t>
      </w:r>
      <w:r>
        <w:rPr>
          <w:rFonts w:ascii="Times New Roman" w:cs="Times New Roman" w:eastAsia="Times New Roman" w:hAnsi="Times New Roman"/>
        </w:rPr>
        <w:t xml:space="preserve">[9]</w:t>
      </w:r>
      <w:r>
        <w:rPr>
          <w:rFonts w:ascii="Times New Roman" w:cs="Times New Roman" w:eastAsia="Times New Roman" w:hAnsi="Times New Roman"/>
        </w:rPr>
        <w:t xml:space="preserve">). Instead of a few hand-picked dates, the dataset takes </w:t>
      </w:r>
      <w:r>
        <w:rPr>
          <w:rFonts w:ascii="Times New Roman" w:cs="Times New Roman" w:eastAsia="Times New Roman" w:hAnsi="Times New Roman"/>
          <w:b/>
          <w:bCs/>
        </w:rPr>
        <w:t xml:space="preserve">every acquisition</w:t>
      </w:r>
      <w:r>
        <w:rPr>
          <w:rFonts w:ascii="Times New Roman" w:cs="Times New Roman" w:eastAsia="Times New Roman" w:hAnsi="Times New Roman"/>
        </w:rPr>
        <w:t xml:space="preserve"> in the windows of </w:t>
      </w:r>
      <w:r>
        <w:rPr>
          <w:rFonts w:ascii="Times New Roman" w:cs="Times New Roman" w:eastAsia="Times New Roman" w:hAnsi="Times New Roman"/>
        </w:rPr>
        <w:t xml:space="preserve">Table III</w:t>
      </w:r>
      <w:r>
        <w:rPr>
          <w:rFonts w:ascii="Times New Roman" w:cs="Times New Roman" w:eastAsia="Times New Roman" w:hAnsi="Times New Roman"/>
        </w:rPr>
        <w:t xml:space="preserve">: 90 days before to 45 days after each documented event, and ±15 days around each event's calendar date in every year from 2017 to 2022. The same windows are used for all three sites, so every site is observed during every event period and in the same season of years without an event.</w:t>
      </w:r>
    </w:p>
    <w:p>
      <w:pPr>
        <w:keepNext/>
        <w:spacing w:after="4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ACQUISITION WINDOWS (IDENTICAL FOR ALL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891"/>
        <w:gridCol w:w="963"/>
        <w:gridCol w:w="3857"/>
      </w:tblGrid>
      <w:tr>
        <w:trPr>
          <w:cantSplit/>
          <w:tblHeader/>
        </w:trPr>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Window</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c>
          <w:tcPr>
            <w:tcW w:type="dxa" w:w="96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Days</w:t>
            </w:r>
          </w:p>
        </w:tc>
        <w:tc>
          <w:tcPr>
            <w:tcW w:type="dxa" w:w="385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Purpose</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4 Sep 2017</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90 d before / 45 d after drainage onset (21 Jul 2017)</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2020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Feb – 5 Aug 2020</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159</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29 May 2020 drainage (merged with anniversary)</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2022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Feb – 21 Jun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7 May 2022 GLOF</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(May)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13 Jun, 2018, 2019, 2021</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 × 53</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May events, no event</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(July)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Jul – 5 Aug, 2018, 2019, 2021,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 × 31</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July event, no event</w:t>
            </w:r>
          </w:p>
        </w:tc>
      </w:tr>
      <w:tr>
        <w:trPr>
          <w:cantSplit/>
          <w:tblHeader w:val="off"/>
        </w:trPr>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windows</w:t>
            </w:r>
          </w:p>
        </w:tc>
        <w:tc>
          <w:tcPr>
            <w:tcW w:type="dxa" w:w="96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714</w:t>
            </w:r>
          </w:p>
        </w:tc>
        <w:tc>
          <w:tcPr>
            <w:tcW w:type="dxa" w:w="385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Applied identically to all three sites</w:t>
            </w:r>
          </w:p>
        </w:tc>
      </w:tr>
    </w:tbl>
    <w:p>
      <w:pPr>
        <w:spacing w:after="160"/>
      </w:pPr>
    </w:p>
    <w:p>
      <w:pPr>
        <w:spacing w:after="100" w:line="264"/>
        <w:ind w:firstLine="284"/>
        <w:jc w:val="both"/>
      </w:pPr>
      <w:r>
        <w:rPr>
          <w:rFonts w:ascii="Times New Roman" w:cs="Times New Roman" w:eastAsia="Times New Roman" w:hAnsi="Times New Roman"/>
        </w:rPr>
        <w:t xml:space="preserve">A Sentinel-2 day is kept when its mosaic covers at least 95% of the box; it is paired with the nearest Sentinel-1 scene within ±6 days. Sentinel-1 days without a Sentinel-2 acquisition are kept as radar-only dates. In total the dataset contains </w:t>
      </w:r>
      <w:r>
        <w:rPr>
          <w:rFonts w:ascii="Times New Roman" w:cs="Times New Roman" w:eastAsia="Times New Roman" w:hAnsi="Times New Roman"/>
          <w:b/>
          <w:bCs/>
        </w:rPr>
        <w:t xml:space="preserve">730 dates</w:t>
      </w:r>
      <w:r>
        <w:rPr>
          <w:rFonts w:ascii="Times New Roman" w:cs="Times New Roman" w:eastAsia="Times New Roman" w:hAnsi="Times New Roman"/>
        </w:rPr>
        <w:t xml:space="preserve"> (490 optical, 240 radar-only; </w:t>
      </w:r>
      <w:r>
        <w:rPr>
          <w:rFonts w:ascii="Times New Roman" w:cs="Times New Roman" w:eastAsia="Times New Roman" w:hAnsi="Times New Roman"/>
        </w:rPr>
        <w:t xml:space="preserve">Table IV</w:t>
      </w:r>
      <w:r>
        <w:rPr>
          <w:rFonts w:ascii="Times New Roman" w:cs="Times New Roman" w:eastAsia="Times New Roman" w:hAnsi="Times New Roman"/>
        </w:rPr>
        <w:t xml:space="preserve">, </w:t>
      </w:r>
      <w:r>
        <w:rPr>
          <w:rFonts w:ascii="Times New Roman" w:cs="Times New Roman" w:eastAsia="Times New Roman" w:hAnsi="Times New Roman"/>
        </w:rPr>
        <w:t xml:space="preserve">Fig. 2</w:t>
      </w:r>
      <w:r>
        <w:rPr>
          <w:rFonts w:ascii="Times New Roman" w:cs="Times New Roman" w:eastAsia="Times New Roman" w:hAnsi="Times New Roman"/>
        </w:rPr>
        <w:t xml:space="preserve">), about 886 MB as compressed float16 arrays.</w:t>
      </w:r>
    </w:p>
    <w:p>
      <w:pPr>
        <w:keepNext/>
        <w:spacing w:after="60" w:before="120"/>
        <w:jc w:val="center"/>
      </w:pPr>
      <w:r>
        <w:drawing>
          <wp:inline distT="0" distB="0" distL="0" distR="0">
            <wp:extent cx="5852160" cy="3169920"/>
            <wp:effectExtent t="0" r="0" b="0" l="0"/>
            <wp:docPr id="2" name="sampling" descr="Temporal sampling of the dataset. Top: every acquisition date per site (optical and radar-only); dashed lines mark documented events. Bottom: number of dates per site." title="Temporal sampling of the dataset. Top: every acquisition 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1699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2. </w:t>
      </w:r>
      <w:r>
        <w:rPr>
          <w:rFonts w:ascii="Times New Roman" w:cs="Times New Roman" w:eastAsia="Times New Roman" w:hAnsi="Times New Roman"/>
          <w:sz w:val="18"/>
          <w:szCs w:val="18"/>
        </w:rPr>
        <w:t xml:space="preserve">Temporal sampling of the dataset. Top: every acquisition date per site (optical and radar-only); dashed lines mark documented events. Bottom: number of dates per site.</w:t>
      </w:r>
    </w:p>
    <w:p>
      <w:pPr>
        <w:keepNext/>
        <w:spacing w:after="4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z w:val="16"/>
          <w:szCs w:val="16"/>
        </w:rPr>
        <w:t xml:space="preserve">DATASET COMPOSITION AND YEAR-WISE TRAIN/TEST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156"/>
        <w:gridCol w:w="1734"/>
        <w:gridCol w:w="1156"/>
        <w:gridCol w:w="2120"/>
        <w:gridCol w:w="1834"/>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(all)</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 radar-only</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Labelled</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Train (2017, 2018, 2020, 2022)</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Test (2019, 2021)</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215</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94</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313</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248 / 65</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99</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202</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81</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52</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490 / 240</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191</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54</w:t>
            </w:r>
          </w:p>
        </w:tc>
      </w:tr>
    </w:tbl>
    <w:p>
      <w:pPr>
        <w:spacing w:after="160"/>
      </w:pPr>
    </w:p>
    <w:p>
      <w:pPr>
        <w:pStyle w:val="Heading1"/>
        <w:keepNext/>
        <w:spacing w:after="120" w:before="240"/>
        <w:jc w:val="center"/>
      </w:pPr>
      <w:r>
        <w:rPr>
          <w:rFonts w:ascii="Times New Roman" w:cs="Times New Roman" w:eastAsia="Times New Roman" w:hAnsi="Times New Roman"/>
          <w:sz w:val="22"/>
          <w:szCs w:val="22"/>
        </w:rPr>
        <w:t xml:space="preserve">V. LABELS</w:t>
      </w:r>
    </w:p>
    <w:p>
      <w:pPr>
        <w:spacing w:after="100" w:line="264"/>
        <w:ind w:firstLine="284"/>
        <w:jc w:val="both"/>
      </w:pPr>
      <w:r>
        <w:rPr>
          <w:rFonts w:ascii="Times New Roman" w:cs="Times New Roman" w:eastAsia="Times New Roman" w:hAnsi="Times New Roman"/>
        </w:rPr>
        <w:t xml:space="preserve">No existing source provides lake outlines for the three sites at the event dates, so water labels are generated automatically from Sentinel-2 using the NDWI </w:t>
      </w:r>
      <w:r>
        <w:rPr>
          <w:rFonts w:ascii="Times New Roman" w:cs="Times New Roman" w:eastAsia="Times New Roman" w:hAnsi="Times New Roman"/>
        </w:rPr>
        <w:t xml:space="preserve">[10]</w:t>
      </w:r>
      <w:r>
        <w:rPr>
          <w:rFonts w:ascii="Times New Roman" w:cs="Times New Roman" w:eastAsia="Times New Roman" w:hAnsi="Times New Roman"/>
        </w:rPr>
        <w:t xml:space="preserve">, (G − NIR) / (G + NIR). A pixel is labelled water when NDWI &gt; 0.2, NIR reflectance &lt; 0.12 (excludes snow, ice and cloud), green reflectance &gt; 0.03 (excludes deep shadow) and slope &lt; 20° (excludes steep shadowed cliffs); components smaller than 50 pixels are removed. Images with more than 10% cloud (cloud probability ≥ 60%, specks &lt; 0.1 km² ignored) or more than 40% very bright pixels are not labelled, and pixels within 150 m of cloud are marked </w:t>
      </w:r>
      <w:r>
        <w:rPr>
          <w:rFonts w:ascii="Times New Roman" w:cs="Times New Roman" w:eastAsia="Times New Roman" w:hAnsi="Times New Roman"/>
          <w:i/>
          <w:iCs/>
        </w:rPr>
        <w:t xml:space="preserve">ignore</w:t>
      </w:r>
      <w:r>
        <w:rPr>
          <w:rFonts w:ascii="Times New Roman" w:cs="Times New Roman" w:eastAsia="Times New Roman" w:hAnsi="Times New Roman"/>
        </w:rPr>
        <w:t xml:space="preserve">. Radar-only dates are never labelled. This yields </w:t>
      </w:r>
      <w:r>
        <w:rPr>
          <w:rFonts w:ascii="Times New Roman" w:cs="Times New Roman" w:eastAsia="Times New Roman" w:hAnsi="Times New Roman"/>
          <w:b/>
          <w:bCs/>
        </w:rPr>
        <w:t xml:space="preserve">191 labelled dates</w:t>
      </w:r>
      <w:r>
        <w:rPr>
          <w:rFonts w:ascii="Times New Roman" w:cs="Times New Roman" w:eastAsia="Times New Roman" w:hAnsi="Times New Roman"/>
        </w:rPr>
        <w:t xml:space="preserve"> (</w:t>
      </w:r>
      <w:r>
        <w:rPr>
          <w:rFonts w:ascii="Times New Roman" w:cs="Times New Roman" w:eastAsia="Times New Roman" w:hAnsi="Times New Roman"/>
        </w:rPr>
        <w:t xml:space="preserve">Table V</w:t>
      </w:r>
      <w:r>
        <w:rPr>
          <w:rFonts w:ascii="Times New Roman" w:cs="Times New Roman" w:eastAsia="Times New Roman" w:hAnsi="Times New Roman"/>
        </w:rPr>
        <w:t xml:space="preserve">); </w:t>
      </w:r>
      <w:r>
        <w:rPr>
          <w:rFonts w:ascii="Times New Roman" w:cs="Times New Roman" w:eastAsia="Times New Roman" w:hAnsi="Times New Roman"/>
        </w:rPr>
        <w:t xml:space="preserve">Fig. 3</w:t>
      </w:r>
      <w:r>
        <w:rPr>
          <w:rFonts w:ascii="Times New Roman" w:cs="Times New Roman" w:eastAsia="Times New Roman" w:hAnsi="Times New Roman"/>
        </w:rPr>
        <w:t xml:space="preserve"> shows examples.</w:t>
      </w:r>
    </w:p>
    <w:p>
      <w:pPr>
        <w:keepNext/>
        <w:spacing w:after="4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z w:val="16"/>
          <w:szCs w:val="16"/>
        </w:rPr>
        <w:t xml:space="preserve">LABELLED DATES PER SITE AND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1314"/>
        <w:gridCol w:w="1095"/>
        <w:gridCol w:w="876"/>
        <w:gridCol w:w="876"/>
        <w:gridCol w:w="876"/>
        <w:gridCol w:w="876"/>
        <w:gridCol w:w="876"/>
        <w:gridCol w:w="878"/>
      </w:tblGrid>
      <w:tr>
        <w:trPr>
          <w:cantSplit/>
          <w:tblHeader/>
        </w:trPr>
        <w:tc>
          <w:tcPr>
            <w:tcW w:type="dxa" w:w="197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31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dates</w:t>
            </w:r>
          </w:p>
        </w:tc>
        <w:tc>
          <w:tcPr>
            <w:tcW w:type="dxa" w:w="109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Labelled</w:t>
            </w:r>
          </w:p>
        </w:tc>
        <w:tc>
          <w:tcPr>
            <w:tcW w:type="dxa" w:w="87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2017</w:t>
            </w:r>
          </w:p>
        </w:tc>
        <w:tc>
          <w:tcPr>
            <w:tcW w:type="dxa" w:w="87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2018</w:t>
            </w:r>
          </w:p>
        </w:tc>
        <w:tc>
          <w:tcPr>
            <w:tcW w:type="dxa" w:w="87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2019</w:t>
            </w:r>
          </w:p>
        </w:tc>
        <w:tc>
          <w:tcPr>
            <w:tcW w:type="dxa" w:w="87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2020</w:t>
            </w:r>
          </w:p>
        </w:tc>
        <w:tc>
          <w:tcPr>
            <w:tcW w:type="dxa" w:w="87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2021</w:t>
            </w:r>
          </w:p>
        </w:tc>
        <w:tc>
          <w:tcPr>
            <w:tcW w:type="dxa" w:w="8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2022</w:t>
            </w:r>
          </w:p>
        </w:tc>
      </w:tr>
      <w:tr>
        <w:trPr>
          <w:cantSplit/>
          <w:tblHeader w:val="off"/>
        </w:trPr>
        <w:tc>
          <w:tcPr>
            <w:tcW w:type="dxa" w:w="197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w:t>
            </w:r>
          </w:p>
        </w:tc>
        <w:tc>
          <w:tcPr>
            <w:tcW w:type="dxa" w:w="109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87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w:t>
            </w:r>
          </w:p>
        </w:tc>
      </w:tr>
      <w:tr>
        <w:trPr>
          <w:cantSplit/>
          <w:tblHeader w:val="off"/>
        </w:trPr>
        <w:tc>
          <w:tcPr>
            <w:tcW w:type="dxa" w:w="197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248</w:t>
            </w:r>
          </w:p>
        </w:tc>
        <w:tc>
          <w:tcPr>
            <w:tcW w:type="dxa" w:w="109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99</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16</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c>
          <w:tcPr>
            <w:tcW w:type="dxa" w:w="87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w:t>
            </w:r>
          </w:p>
        </w:tc>
      </w:tr>
      <w:tr>
        <w:trPr>
          <w:cantSplit/>
          <w:tblHeader w:val="off"/>
        </w:trPr>
        <w:tc>
          <w:tcPr>
            <w:tcW w:type="dxa" w:w="197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w:t>
            </w:r>
          </w:p>
        </w:tc>
        <w:tc>
          <w:tcPr>
            <w:tcW w:type="dxa" w:w="109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52</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11</w:t>
            </w:r>
          </w:p>
        </w:tc>
        <w:tc>
          <w:tcPr>
            <w:tcW w:type="dxa" w:w="87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8</w:t>
            </w:r>
          </w:p>
        </w:tc>
        <w:tc>
          <w:tcPr>
            <w:tcW w:type="dxa" w:w="87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w:t>
            </w:r>
          </w:p>
        </w:tc>
      </w:tr>
      <w:tr>
        <w:trPr>
          <w:cantSplit/>
          <w:tblHeader w:val="off"/>
        </w:trPr>
        <w:tc>
          <w:tcPr>
            <w:tcW w:type="dxa" w:w="197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131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490</w:t>
            </w:r>
          </w:p>
        </w:tc>
        <w:tc>
          <w:tcPr>
            <w:tcW w:type="dxa" w:w="109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191</w:t>
            </w:r>
          </w:p>
        </w:tc>
        <w:tc>
          <w:tcPr>
            <w:tcW w:type="dxa" w:w="87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w:t>
            </w:r>
          </w:p>
        </w:tc>
        <w:tc>
          <w:tcPr>
            <w:tcW w:type="dxa" w:w="87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32</w:t>
            </w:r>
          </w:p>
        </w:tc>
        <w:tc>
          <w:tcPr>
            <w:tcW w:type="dxa" w:w="87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w:t>
            </w:r>
          </w:p>
        </w:tc>
        <w:tc>
          <w:tcPr>
            <w:tcW w:type="dxa" w:w="87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45</w:t>
            </w:r>
          </w:p>
        </w:tc>
        <w:tc>
          <w:tcPr>
            <w:tcW w:type="dxa" w:w="87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28</w:t>
            </w:r>
          </w:p>
        </w:tc>
        <w:tc>
          <w:tcPr>
            <w:tcW w:type="dxa" w:w="87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45</w:t>
            </w:r>
          </w:p>
        </w:tc>
      </w:tr>
    </w:tbl>
    <w:p>
      <w:pPr>
        <w:spacing w:after="160"/>
      </w:pPr>
    </w:p>
    <w:p>
      <w:pPr>
        <w:keepNext/>
        <w:spacing w:after="60" w:before="120"/>
        <w:jc w:val="center"/>
      </w:pPr>
      <w:r>
        <w:drawing>
          <wp:inline distT="0" distB="0" distL="0" distR="0">
            <wp:extent cx="5852160" cy="3982720"/>
            <wp:effectExtent t="0" r="0" b="0" l="0"/>
            <wp:docPr id="3" name="labels" descr="Examples of automatic labels (blue = water, darkened = ignored cloud buffer)." title="Examples of automatic labels (blue = water, darkened = ig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9827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3. </w:t>
      </w:r>
      <w:r>
        <w:rPr>
          <w:rFonts w:ascii="Times New Roman" w:cs="Times New Roman" w:eastAsia="Times New Roman" w:hAnsi="Times New Roman"/>
          <w:sz w:val="18"/>
          <w:szCs w:val="18"/>
        </w:rPr>
        <w:t xml:space="preserve">Examples of automatic labels (blue = water, darkened = ignored cloud buffer).</w:t>
      </w:r>
    </w:p>
    <w:p>
      <w:pPr>
        <w:spacing w:after="100" w:line="264"/>
        <w:ind w:firstLine="284"/>
        <w:jc w:val="both"/>
      </w:pPr>
      <w:r>
        <w:rPr>
          <w:rFonts w:ascii="Times New Roman" w:cs="Times New Roman" w:eastAsia="Times New Roman" w:hAnsi="Times New Roman"/>
        </w:rPr>
        <w:t xml:space="preserve">Lake area measured directly from these labels already shows the documented events (</w:t>
      </w:r>
      <w:r>
        <w:rPr>
          <w:rFonts w:ascii="Times New Roman" w:cs="Times New Roman" w:eastAsia="Times New Roman" w:hAnsi="Times New Roman"/>
        </w:rPr>
        <w:t xml:space="preserve">Fig. 4</w:t>
      </w:r>
      <w:r>
        <w:rPr>
          <w:rFonts w:ascii="Times New Roman" w:cs="Times New Roman" w:eastAsia="Times New Roman" w:hAnsi="Times New Roman"/>
        </w:rPr>
        <w:t xml:space="preserve">): water at Shishper on 30 April 2022 and none on 10 May 2022, water on 25 May 2020 and none by 29 June 2020, and the Khurdopin lake present in May–June 2017 and gone by 27 July 2017. Label-derived areas underestimate the event lakes because frozen and very turbid lake surfaces are not labelled as water.</w:t>
      </w:r>
    </w:p>
    <w:p>
      <w:pPr>
        <w:keepNext/>
        <w:spacing w:after="60" w:before="120"/>
        <w:jc w:val="center"/>
      </w:pPr>
      <w:r>
        <w:drawing>
          <wp:inline distT="0" distB="0" distL="0" distR="0">
            <wp:extent cx="5852160" cy="4389120"/>
            <wp:effectExtent t="0" r="0" b="0" l="0"/>
            <wp:docPr id="4" name="refarea" descr="Lake area derived from the automatic labels on clear dates. Dashed lines: documented events." title="Lake area derived from the automatic labels on clear da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43891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4. </w:t>
      </w:r>
      <w:r>
        <w:rPr>
          <w:rFonts w:ascii="Times New Roman" w:cs="Times New Roman" w:eastAsia="Times New Roman" w:hAnsi="Times New Roman"/>
          <w:sz w:val="18"/>
          <w:szCs w:val="18"/>
        </w:rPr>
        <w:t xml:space="preserve">Lake area derived from the automatic labels on clear dates. Dashed lines: documented events.</w:t>
      </w:r>
    </w:p>
    <w:p>
      <w:pPr>
        <w:pStyle w:val="Heading1"/>
        <w:keepNext/>
        <w:spacing w:after="120" w:before="240"/>
        <w:jc w:val="center"/>
      </w:pPr>
      <w:r>
        <w:rPr>
          <w:rFonts w:ascii="Times New Roman" w:cs="Times New Roman" w:eastAsia="Times New Roman" w:hAnsi="Times New Roman"/>
          <w:sz w:val="22"/>
          <w:szCs w:val="22"/>
        </w:rPr>
        <w:t xml:space="preserve">VI. EVENT RECORDS</w:t>
      </w:r>
    </w:p>
    <w:p>
      <w:pPr>
        <w:spacing w:after="100" w:line="264"/>
        <w:ind w:firstLine="284"/>
        <w:jc w:val="both"/>
      </w:pPr>
      <w:r>
        <w:rPr>
          <w:rFonts w:ascii="Times New Roman" w:cs="Times New Roman" w:eastAsia="Times New Roman" w:hAnsi="Times New Roman"/>
        </w:rPr>
        <w:t xml:space="preserve">The documented events used for evaluation are listed in </w:t>
      </w:r>
      <w:r>
        <w:rPr>
          <w:rFonts w:ascii="Times New Roman" w:cs="Times New Roman" w:eastAsia="Times New Roman" w:hAnsi="Times New Roman"/>
        </w:rPr>
        <w:t xml:space="preserve">Table VI</w:t>
      </w:r>
      <w:r>
        <w:rPr>
          <w:rFonts w:ascii="Times New Roman" w:cs="Times New Roman" w:eastAsia="Times New Roman" w:hAnsi="Times New Roman"/>
        </w:rPr>
        <w:t xml:space="preserve">. They are taken from peer-reviewed sources; the Passu comparison site has no documented outburst during the study period.</w:t>
      </w:r>
    </w:p>
    <w:p>
      <w:pPr>
        <w:keepNext/>
        <w:spacing w:after="4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z w:val="16"/>
          <w:szCs w:val="16"/>
        </w:rPr>
        <w:t xml:space="preserve">DOCUMENTED EVENTS USED FOR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3662"/>
        <w:gridCol w:w="2313"/>
        <w:gridCol w:w="1929"/>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366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Event</w:t>
            </w:r>
          </w:p>
        </w:tc>
        <w:tc>
          <w:tcPr>
            <w:tcW w:type="dxa" w:w="231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c>
          <w:tcPr>
            <w:tcW w:type="dxa" w:w="192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Source</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Lake formation behind surging glacier</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March 2017</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Drainage onset → lake fully drained</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21 Jul 2017 → 3 Aug 2017</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Repeated drainage of the ice-dammed lake</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2019 onwards; 29 May 2020</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GLOF destroying the Hassanabad bridge (KKH)</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 May 2022</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 Lake)</w:t>
            </w:r>
          </w:p>
        </w:tc>
        <w:tc>
          <w:tcPr>
            <w:tcW w:type="dxa" w:w="366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outburst in the study period</w:t>
            </w:r>
          </w:p>
        </w:tc>
        <w:tc>
          <w:tcPr>
            <w:tcW w:type="dxa" w:w="231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2017–2022</w:t>
            </w:r>
          </w:p>
        </w:tc>
        <w:tc>
          <w:tcPr>
            <w:tcW w:type="dxa" w:w="192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 inspection (this work)</w:t>
            </w:r>
          </w:p>
        </w:tc>
      </w:tr>
    </w:tbl>
    <w:p>
      <w:pPr>
        <w:spacing w:after="160"/>
      </w:pPr>
    </w:p>
    <w:p>
      <w:pPr>
        <w:pStyle w:val="Heading1"/>
        <w:keepNext/>
        <w:spacing w:after="120" w:before="240"/>
        <w:jc w:val="center"/>
      </w:pPr>
      <w:r>
        <w:rPr>
          <w:rFonts w:ascii="Times New Roman" w:cs="Times New Roman" w:eastAsia="Times New Roman" w:hAnsi="Times New Roman"/>
          <w:sz w:val="22"/>
          <w:szCs w:val="22"/>
        </w:rPr>
        <w:t xml:space="preserve">VII. JUSTIFICATION</w:t>
      </w:r>
    </w:p>
    <w:p>
      <w:pPr>
        <w:pStyle w:val="ListParagraph"/>
        <w:numPr>
          <w:ilvl w:val="0"/>
          <w:numId w:val="2"/>
        </w:numPr>
        <w:spacing w:after="60" w:line="252"/>
        <w:jc w:val="both"/>
      </w:pPr>
      <w:r>
        <w:rPr>
          <w:rFonts w:ascii="Times New Roman" w:cs="Times New Roman" w:eastAsia="Times New Roman" w:hAnsi="Times New Roman"/>
          <w:b/>
          <w:bCs/>
        </w:rPr>
        <w:t xml:space="preserve">Coverage of the research question.</w:t>
      </w:r>
      <w:r>
        <w:rPr>
          <w:rFonts w:ascii="Times New Roman" w:cs="Times New Roman" w:eastAsia="Times New Roman" w:hAnsi="Times New Roman"/>
        </w:rPr>
        <w:t xml:space="preserve"> Sentinel-1, Sentinel-2 and a DEM are the minimum set needed to test whether radar–optical–terrain fusion helps when optical data are obscured by cloud.</w:t>
      </w:r>
    </w:p>
    <w:p>
      <w:pPr>
        <w:pStyle w:val="ListParagraph"/>
        <w:numPr>
          <w:ilvl w:val="0"/>
          <w:numId w:val="2"/>
        </w:numPr>
        <w:spacing w:after="60" w:line="252"/>
        <w:jc w:val="both"/>
      </w:pPr>
      <w:r>
        <w:rPr>
          <w:rFonts w:ascii="Times New Roman" w:cs="Times New Roman" w:eastAsia="Times New Roman" w:hAnsi="Times New Roman"/>
          <w:b/>
          <w:bCs/>
        </w:rPr>
        <w:t xml:space="preserve">Temporal density around events.</w:t>
      </w:r>
      <w:r>
        <w:rPr>
          <w:rFonts w:ascii="Times New Roman" w:cs="Times New Roman" w:eastAsia="Times New Roman" w:hAnsi="Times New Roman"/>
        </w:rPr>
        <w:t xml:space="preserve"> Taking every acquisition in event-centred windows, plus radar-only dates, gives the observations needed to see lakes fill and drain — something annual inventories cannot provide.</w:t>
      </w:r>
    </w:p>
    <w:p>
      <w:pPr>
        <w:pStyle w:val="ListParagraph"/>
        <w:numPr>
          <w:ilvl w:val="0"/>
          <w:numId w:val="2"/>
        </w:numPr>
        <w:spacing w:after="60" w:line="252"/>
        <w:jc w:val="both"/>
      </w:pPr>
      <w:r>
        <w:rPr>
          <w:rFonts w:ascii="Times New Roman" w:cs="Times New Roman" w:eastAsia="Times New Roman" w:hAnsi="Times New Roman"/>
          <w:b/>
          <w:bCs/>
        </w:rPr>
        <w:t xml:space="preserve">Built-in comparison.</w:t>
      </w:r>
      <w:r>
        <w:rPr>
          <w:rFonts w:ascii="Times New Roman" w:cs="Times New Roman" w:eastAsia="Times New Roman" w:hAnsi="Times New Roman"/>
        </w:rPr>
        <w:t xml:space="preserve"> Identical windows at all sites provide same-period observations of non-event sites for every event.</w:t>
      </w:r>
    </w:p>
    <w:p>
      <w:pPr>
        <w:pStyle w:val="ListParagraph"/>
        <w:numPr>
          <w:ilvl w:val="0"/>
          <w:numId w:val="2"/>
        </w:numPr>
        <w:spacing w:after="60" w:line="252"/>
        <w:jc w:val="both"/>
      </w:pPr>
      <w:r>
        <w:rPr>
          <w:rFonts w:ascii="Times New Roman" w:cs="Times New Roman" w:eastAsia="Times New Roman" w:hAnsi="Times New Roman"/>
          <w:b/>
          <w:bCs/>
        </w:rPr>
        <w:t xml:space="preserve">Labelling burden.</w:t>
      </w:r>
      <w:r>
        <w:rPr>
          <w:rFonts w:ascii="Times New Roman" w:cs="Times New Roman" w:eastAsia="Times New Roman" w:hAnsi="Times New Roman"/>
        </w:rPr>
        <w:t xml:space="preserve"> Automatic NDWI labels make it possible to label 191 dates without manual digitisation, at the cost of label noise that is documented in Section IX.</w:t>
      </w:r>
    </w:p>
    <w:p>
      <w:pPr>
        <w:pStyle w:val="ListParagraph"/>
        <w:numPr>
          <w:ilvl w:val="0"/>
          <w:numId w:val="2"/>
        </w:numPr>
        <w:spacing w:after="60" w:line="252"/>
        <w:jc w:val="both"/>
      </w:pPr>
      <w:r>
        <w:rPr>
          <w:rFonts w:ascii="Times New Roman" w:cs="Times New Roman" w:eastAsia="Times New Roman" w:hAnsi="Times New Roman"/>
          <w:b/>
          <w:bCs/>
        </w:rPr>
        <w:t xml:space="preserve">Access and reproducibility.</w:t>
      </w:r>
      <w:r>
        <w:rPr>
          <w:rFonts w:ascii="Times New Roman" w:cs="Times New Roman" w:eastAsia="Times New Roman" w:hAnsi="Times New Roman"/>
        </w:rPr>
        <w:t xml:space="preserve"> All data are free, open and retrievable with one notebook; the full download takes about 13 minutes.</w:t>
      </w:r>
    </w:p>
    <w:p>
      <w:pPr>
        <w:pStyle w:val="Heading1"/>
        <w:keepNext/>
        <w:spacing w:after="120" w:before="240"/>
        <w:jc w:val="center"/>
      </w:pPr>
      <w:r>
        <w:rPr>
          <w:rFonts w:ascii="Times New Roman" w:cs="Times New Roman" w:eastAsia="Times New Roman" w:hAnsi="Times New Roman"/>
          <w:sz w:val="22"/>
          <w:szCs w:val="22"/>
        </w:rPr>
        <w:t xml:space="preserve">VIII. ACCESS AND REPRODUCIBILITY</w:t>
      </w:r>
    </w:p>
    <w:p>
      <w:pPr>
        <w:spacing w:after="100" w:line="264"/>
        <w:ind w:firstLine="284"/>
        <w:jc w:val="both"/>
      </w:pPr>
      <w:r>
        <w:rPr>
          <w:rFonts w:ascii="Times New Roman" w:cs="Times New Roman" w:eastAsia="Times New Roman" w:hAnsi="Times New Roman"/>
        </w:rPr>
        <w:t xml:space="preserve">Data are retrieved with the Earth Engine Python API using </w:t>
      </w:r>
      <w:r>
        <w:rPr>
          <w:rFonts w:ascii="Consolas" w:cs="Consolas" w:eastAsia="Consolas" w:hAnsi="Consolas"/>
          <w:sz w:val="19"/>
          <w:szCs w:val="19"/>
        </w:rPr>
        <w:t xml:space="preserve">ee.data.computePixels</w:t>
      </w:r>
      <w:r>
        <w:rPr>
          <w:rFonts w:ascii="Times New Roman" w:cs="Times New Roman" w:eastAsia="Times New Roman" w:hAnsi="Times New Roman"/>
        </w:rPr>
        <w:t xml:space="preserve">, which returns arrays directly on the defined 10 m grid. The notebook </w:t>
      </w:r>
      <w:r>
        <w:rPr>
          <w:rFonts w:ascii="Times New Roman" w:cs="Times New Roman" w:eastAsia="Times New Roman" w:hAnsi="Times New Roman"/>
          <w:i/>
          <w:iCs/>
        </w:rPr>
        <w:t xml:space="preserve">glof_pipeline.ipynb</w:t>
      </w:r>
      <w:r>
        <w:rPr>
          <w:rFonts w:ascii="Times New Roman" w:cs="Times New Roman" w:eastAsia="Times New Roman" w:hAnsi="Times New Roman"/>
        </w:rPr>
        <w:t xml:space="preserve"> contains the complete acquisition code; it stores one compressed file per date and site plus a static DEM/slope file and a plan file listing all dates, and it skips existing files so that interrupted downloads can be resumed. Copernicus Sentinel and DEM data are free and openly licensed under the Copernicus data policy; use through Earth Engine requires a registered (non-commercial) Earth Engine project.</w:t>
      </w:r>
    </w:p>
    <w:p>
      <w:pPr>
        <w:pStyle w:val="Heading1"/>
        <w:keepNext/>
        <w:spacing w:after="120" w:before="240"/>
        <w:jc w:val="center"/>
      </w:pPr>
      <w:r>
        <w:rPr>
          <w:rFonts w:ascii="Times New Roman" w:cs="Times New Roman" w:eastAsia="Times New Roman" w:hAnsi="Times New Roman"/>
          <w:sz w:val="22"/>
          <w:szCs w:val="22"/>
        </w:rPr>
        <w:t xml:space="preserve">IX. KNOWN LIMITATIONS</w:t>
      </w:r>
    </w:p>
    <w:p>
      <w:pPr>
        <w:pStyle w:val="ListParagraph"/>
        <w:numPr>
          <w:ilvl w:val="0"/>
          <w:numId w:val="2"/>
        </w:numPr>
        <w:spacing w:after="60" w:line="252"/>
        <w:jc w:val="both"/>
      </w:pPr>
      <w:r>
        <w:rPr>
          <w:rFonts w:ascii="Times New Roman" w:cs="Times New Roman" w:eastAsia="Times New Roman" w:hAnsi="Times New Roman"/>
        </w:rPr>
        <w:t xml:space="preserve">Labels are derived from optical rules, so they favour optical inputs, miss frozen or turbid lake surfaces, and may contain small shadow or wet-ice errors.</w:t>
      </w:r>
    </w:p>
    <w:p>
      <w:pPr>
        <w:pStyle w:val="ListParagraph"/>
        <w:numPr>
          <w:ilvl w:val="0"/>
          <w:numId w:val="2"/>
        </w:numPr>
        <w:spacing w:after="60" w:line="252"/>
        <w:jc w:val="both"/>
      </w:pPr>
      <w:r>
        <w:rPr>
          <w:rFonts w:ascii="Times New Roman" w:cs="Times New Roman" w:eastAsia="Times New Roman" w:hAnsi="Times New Roman"/>
        </w:rPr>
        <w:t xml:space="preserve">No additional speckle filtering is applied to Sentinel-1; radar shadow in steep terrain can resemble water.</w:t>
      </w:r>
    </w:p>
    <w:p>
      <w:pPr>
        <w:pStyle w:val="ListParagraph"/>
        <w:numPr>
          <w:ilvl w:val="0"/>
          <w:numId w:val="2"/>
        </w:numPr>
        <w:spacing w:after="60" w:line="252"/>
        <w:jc w:val="both"/>
      </w:pPr>
      <w:r>
        <w:rPr>
          <w:rFonts w:ascii="Times New Roman" w:cs="Times New Roman" w:eastAsia="Times New Roman" w:hAnsi="Times New Roman"/>
        </w:rPr>
        <w:t xml:space="preserve">The DEM is static and 30 m; slope near narrow lakes is smoothed.</w:t>
      </w:r>
    </w:p>
    <w:p>
      <w:pPr>
        <w:pStyle w:val="ListParagraph"/>
        <w:numPr>
          <w:ilvl w:val="0"/>
          <w:numId w:val="2"/>
        </w:numPr>
        <w:spacing w:after="60" w:line="252"/>
        <w:jc w:val="both"/>
      </w:pPr>
      <w:r>
        <w:rPr>
          <w:rFonts w:ascii="Times New Roman" w:cs="Times New Roman" w:eastAsia="Times New Roman" w:hAnsi="Times New Roman"/>
        </w:rPr>
        <w:t xml:space="preserve">Sentinel-1B stopped on 23 December 2021, so 2022 radar sampling is sparser.</w:t>
      </w:r>
    </w:p>
    <w:p>
      <w:pPr>
        <w:pStyle w:val="ListParagraph"/>
        <w:numPr>
          <w:ilvl w:val="0"/>
          <w:numId w:val="2"/>
        </w:numPr>
        <w:spacing w:after="60" w:line="252"/>
        <w:jc w:val="both"/>
      </w:pPr>
      <w:r>
        <w:rPr>
          <w:rFonts w:ascii="Times New Roman" w:cs="Times New Roman" w:eastAsia="Times New Roman" w:hAnsi="Times New Roman"/>
        </w:rPr>
        <w:t xml:space="preserve">Khurdopin's lake was small and short-lived, so few labelled dates contain water there.</w:t>
      </w:r>
    </w:p>
    <w:p>
      <w:pPr>
        <w:pStyle w:val="ListParagraph"/>
        <w:numPr>
          <w:ilvl w:val="0"/>
          <w:numId w:val="2"/>
        </w:numPr>
        <w:spacing w:after="60" w:line="252"/>
        <w:jc w:val="both"/>
      </w:pPr>
      <w:r>
        <w:rPr>
          <w:rFonts w:ascii="Times New Roman" w:cs="Times New Roman" w:eastAsia="Times New Roman" w:hAnsi="Times New Roman"/>
        </w:rPr>
        <w:t xml:space="preserve">Borith Lake is a perennial lake of different origin from the event lakes, which limits it as a comparison site.</w:t>
      </w:r>
    </w:p>
    <w:p>
      <w:pPr>
        <w:pStyle w:val="Heading1"/>
        <w:keepNext/>
        <w:spacing w:after="120" w:before="240"/>
        <w:jc w:val="center"/>
      </w:pPr>
      <w:r>
        <w:rPr>
          <w:rFonts w:ascii="Times New Roman" w:cs="Times New Roman" w:eastAsia="Times New Roman" w:hAnsi="Times New Roman"/>
          <w:sz w:val="22"/>
          <w:szCs w:val="22"/>
        </w:rPr>
        <w:t xml:space="preserve">REFERENCES</w:t>
      </w:r>
    </w:p>
    <w:p>
      <w:pPr>
        <w:tabs>
          <w:tab w:val="left" w:pos="480"/>
        </w:tabs>
        <w:spacing w:after="60"/>
        <w:ind w:left="480" w:hanging="48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202, pp. 18–27, 2017.</w:t>
      </w:r>
    </w:p>
    <w:p>
      <w:pPr>
        <w:tabs>
          <w:tab w:val="left" w:pos="480"/>
        </w:tabs>
        <w:spacing w:after="60"/>
        <w:ind w:left="480" w:hanging="48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G. Khan, 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"Expansion of Shishper Glacier lake and recent glacial lake outburst flood (GLOF), Gilgit-Baltistan, Pakistan," </w:t>
      </w:r>
      <w:r>
        <w:rPr>
          <w:rFonts w:ascii="Times New Roman" w:cs="Times New Roman" w:eastAsia="Times New Roman" w:hAnsi="Times New Roman"/>
          <w:i/>
          <w:iCs/>
          <w:sz w:val="17"/>
          <w:szCs w:val="17"/>
        </w:rPr>
        <w:t xml:space="preserve">Environmental Science and Pollution Research</w:t>
      </w:r>
      <w:r>
        <w:rPr>
          <w:rFonts w:ascii="Times New Roman" w:cs="Times New Roman" w:eastAsia="Times New Roman" w:hAnsi="Times New Roman"/>
          <w:sz w:val="17"/>
          <w:szCs w:val="17"/>
        </w:rPr>
        <w:t xml:space="preserve">, 2021.</w:t>
      </w:r>
    </w:p>
    <w:p>
      <w:pPr>
        <w:tabs>
          <w:tab w:val="left" w:pos="480"/>
        </w:tabs>
        <w:spacing w:after="60"/>
        <w:ind w:left="480" w:hanging="48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S. Ullah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integrated approach for GLOF hazard, vulnerability and risk assessment in the Karakoram Mountain Range of northern Pakistan," </w:t>
      </w:r>
      <w:r>
        <w:rPr>
          <w:rFonts w:ascii="Times New Roman" w:cs="Times New Roman" w:eastAsia="Times New Roman" w:hAnsi="Times New Roman"/>
          <w:i/>
          <w:iCs/>
          <w:sz w:val="17"/>
          <w:szCs w:val="17"/>
        </w:rPr>
        <w:t xml:space="preserve">Journal of Mountain Science</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J. F. Steiner, P. D. A. Kraaijenbrink, S. G. Jiduc, and W. W. Immerzeel, "Brief communication: The Khurdopin glacier surge revisited – extreme flow velocities and formation of a dammed lake in 2017," </w:t>
      </w:r>
      <w:r>
        <w:rPr>
          <w:rFonts w:ascii="Times New Roman" w:cs="Times New Roman" w:eastAsia="Times New Roman" w:hAnsi="Times New Roman"/>
          <w:i/>
          <w:iCs/>
          <w:sz w:val="17"/>
          <w:szCs w:val="17"/>
        </w:rPr>
        <w:t xml:space="preserve">The Cryosphere</w:t>
      </w:r>
      <w:r>
        <w:rPr>
          <w:rFonts w:ascii="Times New Roman" w:cs="Times New Roman" w:eastAsia="Times New Roman" w:hAnsi="Times New Roman"/>
          <w:sz w:val="17"/>
          <w:szCs w:val="17"/>
        </w:rPr>
        <w:t xml:space="preserve">, vol. 12, no. 1, pp. 95–101, 2018, doi: 10.5194/tc-12-95-2018.</w:t>
      </w:r>
    </w:p>
    <w:p>
      <w:pPr>
        <w:tabs>
          <w:tab w:val="left" w:pos="480"/>
        </w:tabs>
        <w:spacing w:after="60"/>
        <w:ind w:left="480" w:hanging="48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R. Torres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"GMES Sentinel-1 mission,"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9–24, 2012.</w:t>
      </w:r>
    </w:p>
    <w:p>
      <w:pPr>
        <w:tabs>
          <w:tab w:val="left" w:pos="480"/>
        </w:tabs>
        <w:spacing w:after="60"/>
        <w:ind w:left="480" w:hanging="48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M. Drusch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"Sentinel-2: ESA's optical high-resolution mission for GMES operational services,"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25–36, 2012.</w:t>
      </w:r>
    </w:p>
    <w:p>
      <w:pPr>
        <w:tabs>
          <w:tab w:val="left" w:pos="480"/>
        </w:tabs>
        <w:spacing w:after="60"/>
        <w:ind w:left="480" w:hanging="48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A. Zupanc, "Improving cloud detection with machine learning," Sentinel Hub Blog (s2cloudless), 2017. [Online]. Available: https://medium.com/sentinel-hub/improving-cloud-detection-with-machine-learning-c09dc5d7cf13</w:t>
      </w:r>
    </w:p>
    <w:p>
      <w:pPr>
        <w:tabs>
          <w:tab w:val="left" w:pos="480"/>
        </w:tabs>
        <w:spacing w:after="60"/>
        <w:ind w:left="480" w:hanging="48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European Space Agency, "Copernicus DEM — Global and European Digital Elevation Model (COP-DEM)," 2021, doi: 10.5270/ESA-c5d3d65.</w:t>
      </w:r>
    </w:p>
    <w:p>
      <w:pPr>
        <w:tabs>
          <w:tab w:val="left" w:pos="480"/>
        </w:tabs>
        <w:spacing w:after="60"/>
        <w:ind w:left="480" w:hanging="48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European Space Agency, "Mission ends for Copernicus Sentinel-1B satellite," ESA Applications, Aug. 2022. [Online]. Available: https://www.esa.int</w:t>
      </w:r>
    </w:p>
    <w:p>
      <w:pPr>
        <w:tabs>
          <w:tab w:val="left" w:pos="480"/>
        </w:tabs>
        <w:spacing w:after="60"/>
        <w:ind w:left="480" w:hanging="48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S. K. McFeeters, "The use of the Normalized Difference Water Index (NDWI) in the delineation of open water features," </w:t>
      </w:r>
      <w:r>
        <w:rPr>
          <w:rFonts w:ascii="Times New Roman" w:cs="Times New Roman" w:eastAsia="Times New Roman" w:hAnsi="Times New Roman"/>
          <w:i/>
          <w:iCs/>
          <w:sz w:val="17"/>
          <w:szCs w:val="17"/>
        </w:rPr>
        <w:t xml:space="preserve">International Journal of Remote Sensing</w:t>
      </w:r>
      <w:r>
        <w:rPr>
          <w:rFonts w:ascii="Times New Roman" w:cs="Times New Roman" w:eastAsia="Times New Roman" w:hAnsi="Times New Roman"/>
          <w:sz w:val="17"/>
          <w:szCs w:val="17"/>
        </w:rPr>
        <w:t xml:space="preserve">, vol. 17, no. 7, pp. 1425–1432, 1996.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abstractNum w:abstractNumId="3" w15:restartNumberingAfterBreak="0">
    <w:multiLevelType w:val="hybridMultilevel"/>
    <w:lvl w:ilvl="0" w:tentative="1">
      <w:start w:val="1"/>
      <w:numFmt w:val="lowerRoman"/>
      <w:lvlText w:val="%1)"/>
      <w:lvlJc w:val="left"/>
      <w:pPr>
        <w:ind w:left="568" w:hanging="340"/>
      </w:pPr>
    </w:lvl>
  </w:abstractNum>
  <w:abstractNum w:abstractNumId="4" w15:restartNumberingAfterBreak="0">
    <w:multiLevelType w:val="hybridMultilevel"/>
    <w:lvl w:ilvl="0" w:tentative="1">
      <w:start w:val="1"/>
      <w:numFmt w:val="lowerRoman"/>
      <w:lvlText w:val="%1)"/>
      <w:lvlJc w:val="left"/>
      <w:pPr>
        <w:ind w:left="568" w:hanging="340"/>
      </w:pPr>
    </w:lvl>
  </w:abstractNum>
  <w:abstractNum w:abstractNumId="5" w15:restartNumberingAfterBreak="0">
    <w:multiLevelType w:val="hybridMultilevel"/>
    <w:lvl w:ilvl="0" w:tentative="1">
      <w:start w:val="1"/>
      <w:numFmt w:val="lowerRoman"/>
      <w:lvlText w:val="%1)"/>
      <w:lvlJc w:val="left"/>
      <w:pPr>
        <w:ind w:left="568" w:hanging="340"/>
      </w:pPr>
    </w:lvl>
  </w:abstractNum>
  <w:abstractNum w:abstractNumId="6" w15:restartNumberingAfterBreak="0">
    <w:multiLevelType w:val="hybridMultilevel"/>
    <w:lvl w:ilvl="0" w:tentative="1">
      <w:start w:val="1"/>
      <w:numFmt w:val="lowerRoman"/>
      <w:lvlText w:val="%1)"/>
      <w:lvlJc w:val="left"/>
      <w:pPr>
        <w:ind w:left="568" w:hanging="340"/>
      </w:pPr>
    </w:lvl>
  </w:abstractNum>
  <w:abstractNum w:abstractNumId="7" w15:restartNumberingAfterBreak="0">
    <w:multiLevelType w:val="hybridMultilevel"/>
    <w:lvl w:ilvl="0" w:tentative="1">
      <w:start w:val="1"/>
      <w:numFmt w:val="lowerRoman"/>
      <w:lvlText w:val="%1)"/>
      <w:lvlJc w:val="left"/>
      <w:pPr>
        <w:ind w:left="568" w:hanging="340"/>
      </w:pPr>
    </w:lvl>
  </w:abstractNum>
  <w:abstractNum w:abstractNumId="8" w15:restartNumberingAfterBreak="0">
    <w:multiLevelType w:val="hybridMultilevel"/>
    <w:lvl w:ilvl="0" w:tentative="1">
      <w:start w:val="1"/>
      <w:numFmt w:val="lowerRoman"/>
      <w:lvlText w:val="%1)"/>
      <w:lvlJc w:val="left"/>
      <w:pPr>
        <w:ind w:left="568" w:hanging="340"/>
      </w:pPr>
    </w:lvl>
  </w:abstractNum>
  <w:abstractNum w:abstractNumId="9" w15:restartNumberingAfterBreak="0">
    <w:multiLevelType w:val="hybridMultilevel"/>
    <w:lvl w:ilvl="0" w:tentative="1">
      <w:start w:val="1"/>
      <w:numFmt w:val="lowerRoman"/>
      <w:lvlText w:val="%1)"/>
      <w:lvlJc w:val="left"/>
      <w:pPr>
        <w:ind w:left="568" w:hanging="340"/>
      </w:pPr>
    </w:lvl>
  </w:abstractNum>
  <w:abstractNum w:abstractNumId="10" w15:restartNumberingAfterBreak="0">
    <w:multiLevelType w:val="hybridMultilevel"/>
    <w:lvl w:ilvl="0" w:tentative="1">
      <w:start w:val="1"/>
      <w:numFmt w:val="lowerRoman"/>
      <w:lvlText w:val="%1)"/>
      <w:lvlJc w:val="left"/>
      <w:pPr>
        <w:ind w:left="568" w:hanging="340"/>
      </w:pPr>
    </w:lvl>
  </w:abstractNum>
  <w:abstractNum w:abstractNumId="11" w15:restartNumberingAfterBreak="0">
    <w:multiLevelType w:val="hybridMultilevel"/>
    <w:lvl w:ilvl="0" w:tentative="1">
      <w:start w:val="1"/>
      <w:numFmt w:val="decimal"/>
      <w:lvlText w:val="%1)"/>
      <w:lvlJc w:val="left"/>
      <w:pPr>
        <w:ind w:left="568" w:hanging="340"/>
      </w:pPr>
    </w:lvl>
  </w:abstractNum>
  <w:abstractNum w:abstractNumId="12" w15:restartNumberingAfterBreak="0">
    <w:multiLevelType w:val="hybridMultilevel"/>
    <w:lvl w:ilvl="0" w:tentative="1">
      <w:start w:val="1"/>
      <w:numFmt w:val="decimal"/>
      <w:lvlText w:val="%1)"/>
      <w:lvlJc w:val="left"/>
      <w:pPr>
        <w:ind w:left="568" w:hanging="340"/>
      </w:pPr>
    </w:lvl>
  </w:abstractNum>
  <w:abstractNum w:abstractNumId="13" w15:restartNumberingAfterBreak="0">
    <w:multiLevelType w:val="hybridMultilevel"/>
    <w:lvl w:ilvl="0" w:tentative="1">
      <w:start w:val="1"/>
      <w:numFmt w:val="decimal"/>
      <w:lvlText w:val="%1)"/>
      <w:lvlJc w:val="left"/>
      <w:pPr>
        <w:ind w:left="568" w:hanging="340"/>
      </w:pPr>
    </w:lvl>
  </w:abstractNum>
  <w:abstractNum w:abstractNumId="14" w15:restartNumberingAfterBreak="0">
    <w:multiLevelType w:val="hybridMultilevel"/>
    <w:lvl w:ilvl="0" w:tentative="1">
      <w:start w:val="1"/>
      <w:numFmt w:val="decimal"/>
      <w:lvlText w:val="%1)"/>
      <w:lvlJc w:val="left"/>
      <w:pPr>
        <w:ind w:left="568" w:hanging="340"/>
      </w:pPr>
    </w:lvl>
  </w:abstractNum>
  <w:abstractNum w:abstractNumId="15" w15:restartNumberingAfterBreak="0">
    <w:multiLevelType w:val="hybridMultilevel"/>
    <w:lvl w:ilvl="0" w:tentative="1">
      <w:start w:val="1"/>
      <w:numFmt w:val="decimal"/>
      <w:lvlText w:val="%1)"/>
      <w:lvlJc w:val="left"/>
      <w:pPr>
        <w:ind w:left="568" w:hanging="340"/>
      </w:pPr>
    </w:lvl>
  </w:abstractNum>
  <w:abstractNum w:abstractNumId="16" w15:restartNumberingAfterBreak="0">
    <w:multiLevelType w:val="hybridMultilevel"/>
    <w:lvl w:ilvl="0" w:tentative="1">
      <w:start w:val="1"/>
      <w:numFmt w:val="decimal"/>
      <w:lvlText w:val="%1)"/>
      <w:lvlJc w:val="left"/>
      <w:pPr>
        <w:ind w:left="568" w:hanging="340"/>
      </w:pPr>
    </w:lvl>
  </w:abstractNum>
  <w:abstractNum w:abstractNumId="17" w15:restartNumberingAfterBreak="0">
    <w:multiLevelType w:val="hybridMultilevel"/>
    <w:lvl w:ilvl="0" w:tentative="1">
      <w:start w:val="1"/>
      <w:numFmt w:val="decimal"/>
      <w:lvlText w:val="%1)"/>
      <w:lvlJc w:val="left"/>
      <w:pPr>
        <w:ind w:left="568" w:hanging="340"/>
      </w:pPr>
    </w:lvl>
  </w:abstractNum>
  <w:abstractNum w:abstractNumId="18" w15:restartNumberingAfterBreak="0">
    <w:multiLevelType w:val="hybridMultilevel"/>
    <w:lvl w:ilvl="0" w:tentative="1">
      <w:start w:val="1"/>
      <w:numFmt w:val="decimal"/>
      <w:lvlText w:val="%1)"/>
      <w:lvlJc w:val="left"/>
      <w:pPr>
        <w:ind w:left="568"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2"/>
      <w:szCs w:val="22"/>
    </w:rPr>
  </w:style>
  <w:style w:type="paragraph" w:styleId="Heading2">
    <w:name w:val="Heading 2"/>
    <w:basedOn w:val="Normal"/>
    <w:next w:val="Normal"/>
    <w:qFormat/>
    <w:pPr>
      <w:outlineLvl w:val="1"/>
    </w:pPr>
    <w:rPr>
      <w:rFonts w:ascii="Times New Roman" w:cs="Times New Roman" w:eastAsia="Times New Roman" w:hAnsi="Times New Roman"/>
      <w:i/>
      <w:iCs/>
      <w:sz w:val="22"/>
      <w:szCs w:val="22"/>
    </w:rPr>
  </w:style>
  <w:style w:type="paragraph" w:styleId="Heading3">
    <w:name w:val="Heading 3"/>
    <w:basedOn w:val="Normal"/>
    <w:next w:val="Normal"/>
    <w:qFormat/>
    <w:pPr>
      <w:outlineLvl w:val="2"/>
    </w:pPr>
    <w:rPr>
      <w:rFonts w:ascii="Times New Roman" w:cs="Times New Roman" w:eastAsia="Times New Roman" w:hAnsi="Times New Roman"/>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74579d2815455affbfd1a20568fc70fe21b692.png"/><Relationship Id="rId9" Type="http://schemas.openxmlformats.org/officeDocument/2006/relationships/image" Target="media/bc453aa88cb9b757a652c96adab4e32cc027ca33.png"/><Relationship Id="rId10" Type="http://schemas.openxmlformats.org/officeDocument/2006/relationships/image" Target="media/0d932d8a3c9d2c2d9fcfdd238b2025af99b1b0ec.png"/><Relationship Id="rId11" Type="http://schemas.openxmlformats.org/officeDocument/2006/relationships/image" Target="media/c44afe8dac452fedae4b949b90801973adcdac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1 — Dataset Description and Data Sources</dc:title>
  <dc:creator>Muhammad Ali Saleem, Junaid Minhas, Safee Akmal</dc:creator>
  <cp:lastModifiedBy>Un-named</cp:lastModifiedBy>
  <cp:revision>1</cp:revision>
  <dcterms:created xsi:type="dcterms:W3CDTF">2026-10-03T21:34:43.726Z</dcterms:created>
  <dcterms:modified xsi:type="dcterms:W3CDTF">2026-10-03T21:34:43.726Z</dcterms:modified>
</cp:coreProperties>
</file>

<file path=docProps/custom.xml><?xml version="1.0" encoding="utf-8"?>
<Properties xmlns="http://schemas.openxmlformats.org/officeDocument/2006/custom-properties" xmlns:vt="http://schemas.openxmlformats.org/officeDocument/2006/docPropsVTypes"/>
</file>