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2 — Methodology and Experimental Setup</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Fill the yellow placeholders under the title and in the training-configuration table (GPU model from !nvidia-smi in Colab).</w:t>
            </w:r>
          </w:p>
          <w:p>
            <w:pPr>
              <w:spacing w:after="50"/>
              <w:jc w:val="left"/>
            </w:pPr>
            <w:r>
              <w:rPr>
                <w:rFonts w:ascii="Times New Roman" w:cs="Times New Roman" w:eastAsia="Times New Roman" w:hAnsi="Times New Roman"/>
                <w:sz w:val="19"/>
                <w:szCs w:val="19"/>
              </w:rPr>
              <w:t xml:space="preserve">This document contains Section III (Methodology and Experimental Setup) with the required subsections: Proposed Methodology, Model Architecture, Dataset and Preprocessing, Training Configuration and Evaluation Metrics. It describes exactly what notebooks/glof_pipeline.ipynb does.</w:t>
            </w:r>
          </w:p>
          <w:p>
            <w:pPr>
              <w:spacing w:after="50"/>
              <w:jc w:val="left"/>
            </w:pPr>
            <w:r>
              <w:rPr>
                <w:rFonts w:ascii="Times New Roman" w:cs="Times New Roman" w:eastAsia="Times New Roman" w:hAnsi="Times New Roman"/>
                <w:sz w:val="19"/>
                <w:szCs w:val="19"/>
              </w:rPr>
              <w:t xml:space="preserve">Section numbering (III) matches the complete paper; if your instructor wants it numbered as 3, change the heading only.</w:t>
            </w:r>
          </w:p>
        </w:tc>
      </w:tr>
    </w:tbl>
    <w:p>
      <w:pPr>
        <w:spacing w:after="120"/>
      </w:pP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[1]</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5"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[6]</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6"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[7]</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II</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7"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[10]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[11]</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[12]</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[13]</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IV</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[14]</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8"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[12]</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[15]</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9"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VI</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[16]</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[17]</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[18]</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[19]</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per test image on valid pixels only,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Metrics are reported as the mean ± standard deviation over test images, per site and pooled.</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[20]</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2 — Methodology and Experimental Setup</dc:title>
  <dc:creator>Muhammad Ali Saleem, Junaid Minhas, Safee Akmal</dc:creator>
  <cp:lastModifiedBy>Un-named</cp:lastModifiedBy>
  <cp:revision>1</cp:revision>
  <dcterms:created xsi:type="dcterms:W3CDTF">2026-10-03T21:34:44.180Z</dcterms:created>
  <dcterms:modified xsi:type="dcterms:W3CDTF">2026-10-03T21:34:44.180Z</dcterms:modified>
</cp:coreProperties>
</file>

<file path=docProps/custom.xml><?xml version="1.0" encoding="utf-8"?>
<Properties xmlns="http://schemas.openxmlformats.org/officeDocument/2006/custom-properties" xmlns:vt="http://schemas.openxmlformats.org/officeDocument/2006/docPropsVTypes"/>
</file>