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3 — Paper up to Experiments and Results</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This document contains all chapters up to Experiments and Results, as required for Deliverable 3. Submit it together with notebooks/glof_pipeline.ipynb (run end to end on Colab so the outputs are saved in the notebook).</w:t>
            </w:r>
          </w:p>
          <w:p>
            <w:pPr>
              <w:spacing w:after="50"/>
              <w:jc w:val="left"/>
            </w:pPr>
            <w:r>
              <w:rPr>
                <w:rFonts w:ascii="Times New Roman" w:cs="Times New Roman" w:eastAsia="Times New Roman" w:hAnsi="Times New Roman"/>
                <w:sz w:val="19"/>
                <w:szCs w:val="19"/>
              </w:rPr>
              <w:t xml:space="preserve">Run the notebook on a Colab T4 GPU, then search this document for "FILL" and "INSERT FIGURE" and complete each item using the guide boxes in Section IV. Remove every blue guide box before exporting to PDF.</w:t>
            </w:r>
          </w:p>
          <w:p>
            <w:pPr>
              <w:spacing w:after="50"/>
              <w:jc w:val="left"/>
            </w:pPr>
            <w:r>
              <w:rPr>
                <w:rFonts w:ascii="Times New Roman" w:cs="Times New Roman" w:eastAsia="Times New Roman" w:hAnsi="Times New Roman"/>
                <w:sz w:val="19"/>
                <w:szCs w:val="19"/>
              </w:rPr>
              <w:t xml:space="preserve">The abstract also contains result placeholders — fill it last.</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acquisition dates in total) at three sites: the ice-dammed Shishper lake, the surge-dammed Khurdopin lake and Borith Lake as a comparison site next to Passu Glacier. Water labels are generated automatically from Sentinel-2 NDWI with cloud, shadow and snow rules (191 labelled dates). We compare an optical-only U-Net with an early-fusion U-Net (ResNet-18 encoder) trained with optical-channel dropout, using a year-wise held-out test set. On held-out years the fusion model reaches an IoU of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for the optical baseline under clear conditions, and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when all optical inputs are removed to simulate complete cloud cover. The fusion model is then applied to all dates, including radar-only dates, to derive lake-area and growth-rate time series and a transparent equal-weight hazard index. The resulting series capture the drainage of Shishper lake after 29 May 2020 and 7 May 2022 and of Khurdopin lake in July 2017, and the hazard index </w:t>
      </w:r>
      <w:r>
        <w:rPr>
          <w:rFonts w:ascii="Times New Roman" w:cs="Times New Roman" w:eastAsia="Times New Roman" w:hAnsi="Times New Roman"/>
          <w:b/>
          <w:bCs/>
          <w:sz w:val="19"/>
          <w:szCs w:val="19"/>
          <w:highlight w:val="yellow"/>
        </w:rPr>
        <w:t xml:space="preserve">[FILL: one-sentence outcome, e.g. was higher for the event lakes than for the comparison site in 2 of 3 pre-event windows]</w:t>
      </w:r>
      <w:r>
        <w:rPr>
          <w:rFonts w:ascii="Times New Roman" w:cs="Times New Roman" w:eastAsia="Times New Roman" w:hAnsi="Times New Roman"/>
          <w:b/>
          <w:bCs/>
          <w:sz w:val="19"/>
          <w:szCs w:val="19"/>
        </w:rPr>
        <w:t xml:space="preserve">. The study shows that radar–optical fusion makes event-scale glacial-lake tracking possible through cloud-covered periods, and it provides an open, multi-event validation setting for the Hunza basin.</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10"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1"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12"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13"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14"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per test image on valid pixels only,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Metrics are reported as the mean ± standard deviation over test images, per site and pooled.</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IV — delete this box before submitting</w:t>
            </w:r>
          </w:p>
          <w:p>
            <w:pPr>
              <w:spacing w:after="50"/>
              <w:jc w:val="left"/>
            </w:pPr>
            <w:r>
              <w:rPr>
                <w:rFonts w:ascii="Times New Roman" w:cs="Times New Roman" w:eastAsia="Times New Roman" w:hAnsi="Times New Roman"/>
                <w:sz w:val="19"/>
                <w:szCs w:val="19"/>
              </w:rPr>
              <w:t xml:space="preserve">Every </w:t>
            </w:r>
            <w:r>
              <w:rPr>
                <w:rFonts w:ascii="Times New Roman" w:cs="Times New Roman" w:eastAsia="Times New Roman" w:hAnsi="Times New Roman"/>
                <w:b/>
                <w:bCs/>
                <w:sz w:val="19"/>
                <w:szCs w:val="19"/>
              </w:rPr>
              <w:t xml:space="preserve">yellow [FILL]</w:t>
            </w:r>
            <w:r>
              <w:rPr>
                <w:rFonts w:ascii="Times New Roman" w:cs="Times New Roman" w:eastAsia="Times New Roman" w:hAnsi="Times New Roman"/>
                <w:sz w:val="19"/>
                <w:szCs w:val="19"/>
              </w:rPr>
              <w:t xml:space="preserve"> in this section comes from your Colab run of </w:t>
            </w:r>
            <w:r>
              <w:rPr>
                <w:rFonts w:ascii="Times New Roman" w:cs="Times New Roman" w:eastAsia="Times New Roman" w:hAnsi="Times New Roman"/>
                <w:i/>
                <w:iCs/>
                <w:sz w:val="19"/>
                <w:szCs w:val="19"/>
              </w:rPr>
              <w:t xml:space="preserve">glof_pipeline.ipynb</w:t>
            </w:r>
            <w:r>
              <w:rPr>
                <w:rFonts w:ascii="Times New Roman" w:cs="Times New Roman" w:eastAsia="Times New Roman" w:hAnsi="Times New Roman"/>
                <w:sz w:val="19"/>
                <w:szCs w:val="19"/>
              </w:rPr>
              <w:t xml:space="preserve">. Use Ctrl+F for "FILL" and "INSERT FIGURE" to find them all.</w:t>
            </w:r>
          </w:p>
          <w:p>
            <w:pPr>
              <w:spacing w:after="50"/>
              <w:jc w:val="left"/>
            </w:pPr>
            <w:r>
              <w:rPr>
                <w:rFonts w:ascii="Times New Roman" w:cs="Times New Roman" w:eastAsia="Times New Roman" w:hAnsi="Times New Roman"/>
                <w:sz w:val="19"/>
                <w:szCs w:val="19"/>
              </w:rPr>
              <w:t xml:space="preserve">Run the notebook once end to end on a T4 GPU, then copy numbers from the cells named in the guide boxes below. Report 3 decimals for metrics.</w:t>
            </w:r>
          </w:p>
          <w:p>
            <w:pPr>
              <w:spacing w:after="50"/>
              <w:jc w:val="left"/>
            </w:pPr>
            <w:r>
              <w:rPr>
                <w:rFonts w:ascii="Times New Roman" w:cs="Times New Roman" w:eastAsia="Times New Roman" w:hAnsi="Times New Roman"/>
                <w:sz w:val="19"/>
                <w:szCs w:val="19"/>
              </w:rPr>
              <w:t xml:space="preserve">Experiment E1 already contains real numbers from our data download; check them against the outputs of notebook sections 4–6 and correct them if your run differs.</w:t>
            </w:r>
          </w:p>
        </w:tc>
      </w:tr>
    </w:tbl>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both models are trained with identical settings, seeds and data, and differ only in their input channels and in the optical-channel dropout of the fusion model.</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Baseline vs fusion (clear conditions)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optical-only and fusion U-Nets on held-out years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area and growth with the fusion model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and fill gaps in the optical record.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Already at this stage the documented events are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15"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Baseline versus Fusion</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under identical conditions.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the pooled test metrics and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the per-site results on the 54 held-out images from 2019 and 2021. Under clear conditions the </w:t>
      </w:r>
      <w:r>
        <w:rPr>
          <w:rFonts w:ascii="Times New Roman" w:cs="Times New Roman" w:eastAsia="Times New Roman" w:hAnsi="Times New Roman"/>
          <w:b/>
          <w:bCs/>
          <w:highlight w:val="yellow"/>
        </w:rPr>
        <w:t xml:space="preserve">[FILL: fusion / optical-only]</w:t>
      </w:r>
      <w:r>
        <w:rPr>
          <w:rFonts w:ascii="Times New Roman" w:cs="Times New Roman" w:eastAsia="Times New Roman" w:hAnsi="Times New Roman"/>
        </w:rPr>
        <w:t xml:space="preserve"> model performs best, with an IoU of </w:t>
      </w:r>
      <w:r>
        <w:rPr>
          <w:rFonts w:ascii="Times New Roman" w:cs="Times New Roman" w:eastAsia="Times New Roman" w:hAnsi="Times New Roman"/>
          <w:b/>
          <w:bCs/>
          <w:highlight w:val="yellow"/>
        </w:rPr>
        <w:t xml:space="preserve">[FILL: 0.___ ± 0.___]</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 0.___ ± 0.___]</w:t>
      </w:r>
      <w:r>
        <w:rPr>
          <w:rFonts w:ascii="Times New Roman" w:cs="Times New Roman" w:eastAsia="Times New Roman" w:hAnsi="Times New Roman"/>
        </w:rPr>
        <w:t xml:space="preserve"> for the </w:t>
      </w:r>
      <w:r>
        <w:rPr>
          <w:rFonts w:ascii="Times New Roman" w:cs="Times New Roman" w:eastAsia="Times New Roman" w:hAnsi="Times New Roman"/>
          <w:b/>
          <w:bCs/>
          <w:highlight w:val="yellow"/>
        </w:rPr>
        <w:t xml:space="preserve">[FILL: other model]</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one sentence on which site is hardest, e.g. Khurdopin has the lowest IoU because its lake is small or absent in the test years.]</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SEGMENTATION RESULTS ON HELD-OUT YEARS (MEAN ± SD OVER 54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1349"/>
        <w:gridCol w:w="1349"/>
        <w:gridCol w:w="1445"/>
        <w:gridCol w:w="1448"/>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44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first output table (mean per condition and model). For mean ± sd run this in a new cell after section 8:</w:t>
            </w:r>
          </w:p>
          <w:p>
            <w:pPr>
              <w:spacing w:after="40"/>
            </w:pPr>
            <w:r>
              <w:rPr>
                <w:rFonts w:ascii="Consolas" w:cs="Consolas" w:eastAsia="Consolas" w:hAnsi="Consolas"/>
                <w:sz w:val="17"/>
                <w:szCs w:val="17"/>
              </w:rPr>
              <w:t xml:space="preserve">results.groupby(["condition","model"])[["IoU","F1","precision","recall"]].agg(["mean","std"]).round(3)</w:t>
            </w:r>
          </w:p>
          <w:p>
            <w:pPr>
              <w:spacing w:after="50"/>
              <w:jc w:val="left"/>
            </w:pPr>
            <w:r>
              <w:rPr>
                <w:rFonts w:ascii="Times New Roman" w:cs="Times New Roman" w:eastAsia="Times New Roman" w:hAnsi="Times New Roman"/>
                <w:sz w:val="19"/>
                <w:szCs w:val="19"/>
              </w:rPr>
              <w:t xml:space="preserve">Write values as 0.812 ± 0.095. Bold the best model per condition. If you repeat training with 3 seeds (change torch.manual_seed), report mean ± sd over seeds instead and say so in the caption.</w:t>
            </w:r>
          </w:p>
        </w:tc>
      </w:tr>
    </w:tbl>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PER-SITE SEGMENTATION RESULTS (MEAN IOU / F1 OVER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45"/>
        <w:gridCol w:w="1445"/>
        <w:gridCol w:w="1445"/>
        <w:gridCol w:w="1445"/>
        <w:gridCol w:w="1738"/>
      </w:tblGrid>
      <w:tr>
        <w:trPr>
          <w:cantSplit/>
          <w:tblHeader/>
        </w:trPr>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 (test images)</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F1</w:t>
            </w:r>
          </w:p>
        </w:tc>
        <w:tc>
          <w:tcPr>
            <w:tcW w:type="dxa" w:w="17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 sim. cloud</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(13)</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(26)</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 Borith (15)</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Pooled (54)</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second output table (per lake, condition and model). Test-image counts in brackets come from our run (13 / 26 / 15); correct them if yours differ (print </w:t>
            </w:r>
            <w:r>
              <w:rPr>
                <w:rFonts w:ascii="Consolas" w:cs="Consolas" w:eastAsia="Consolas" w:hAnsi="Consolas"/>
                <w:sz w:val="17"/>
                <w:szCs w:val="17"/>
              </w:rPr>
              <w:t xml:space="preserve">pd.Series([n for n,_ in test_idx]).value_counts()</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When all optical channels are removed, the optical-only model's IoU drops to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while the fusion model retains an IoU of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t>
      </w:r>
      <w:r>
        <w:rPr>
          <w:rFonts w:ascii="Times New Roman" w:cs="Times New Roman" w:eastAsia="Times New Roman" w:hAnsi="Times New Roman"/>
        </w:rPr>
        <w:t xml:space="preserve">Table XII</w:t>
      </w:r>
      <w:r>
        <w:rPr>
          <w:rFonts w:ascii="Times New Roman" w:cs="Times New Roman" w:eastAsia="Times New Roman" w:hAnsi="Times New Roman"/>
        </w:rPr>
        <w:t xml:space="preserve">, lower rows), i.e. </w:t>
      </w:r>
      <w:r>
        <w:rPr>
          <w:rFonts w:ascii="Times New Roman" w:cs="Times New Roman" w:eastAsia="Times New Roman" w:hAnsi="Times New Roman"/>
          <w:b/>
          <w:bCs/>
          <w:highlight w:val="yellow"/>
        </w:rPr>
        <w:t xml:space="preserve">[FILL: __]</w:t>
      </w:r>
      <w:r>
        <w:rPr>
          <w:rFonts w:ascii="Times New Roman" w:cs="Times New Roman" w:eastAsia="Times New Roman" w:hAnsi="Times New Roman"/>
        </w:rPr>
        <w:t xml:space="preserve">% of its clear-condition IoU. </w:t>
      </w:r>
      <w:r>
        <w:rPr>
          <w:rFonts w:ascii="Times New Roman" w:cs="Times New Roman" w:eastAsia="Times New Roman" w:hAnsi="Times New Roman"/>
          <w:b/>
          <w:bCs/>
          <w:highlight w:val="yellow"/>
        </w:rPr>
        <w:t xml:space="preserve">[FILL: one sentence on precision/recall under simulated cloud, e.g. the fusion model keeps high precision but loses recall at lake margins.]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168"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7 HERE]</w:t>
            </w:r>
          </w:p>
          <w:p>
            <w:pPr>
              <w:spacing w:after="40"/>
              <w:jc w:val="center"/>
            </w:pPr>
            <w:r>
              <w:rPr>
                <w:rFonts w:ascii="Times New Roman" w:cs="Times New Roman" w:eastAsia="Times New Roman" w:hAnsi="Times New Roman"/>
                <w:color w:val="52514E"/>
                <w:sz w:val="18"/>
                <w:szCs w:val="18"/>
              </w:rPr>
              <w:t xml:space="preserve">Optional chart. In a new notebook cell after section 8 run:</w:t>
            </w:r>
          </w:p>
          <w:p>
            <w:pPr>
              <w:spacing w:after="40"/>
              <w:jc w:val="center"/>
            </w:pPr>
            <w:r>
              <w:rPr>
                <w:rFonts w:ascii="Times New Roman" w:cs="Times New Roman" w:eastAsia="Times New Roman" w:hAnsi="Times New Roman"/>
                <w:color w:val="52514E"/>
                <w:sz w:val="18"/>
                <w:szCs w:val="18"/>
              </w:rPr>
              <w:t xml:space="preserve">results.groupby(["condition","model"]).IoU.agg(["mean","std"]).unstack().plot.bar(rot=0)</w:t>
            </w:r>
          </w:p>
          <w:p>
            <w:pPr>
              <w:spacing w:after="40"/>
              <w:jc w:val="center"/>
            </w:pPr>
            <w:r>
              <w:rPr>
                <w:rFonts w:ascii="Times New Roman" w:cs="Times New Roman" w:eastAsia="Times New Roman" w:hAnsi="Times New Roman"/>
                <w:color w:val="52514E"/>
                <w:sz w:val="18"/>
                <w:szCs w:val="18"/>
              </w:rPr>
              <w:t xml:space="preserve">Save the image and insert it here, or delete this figure and its caption if you prefer the table only.</w:t>
            </w:r>
          </w:p>
        </w:tc>
      </w:tr>
    </w:tbl>
    <w:p>
      <w:pPr>
        <w:spacing w:after="180" w:before="6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IoU of the optical-only and fusion models under clear and simulated-cloud conditions (mean ± sd over test images).</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predictions of both models on held-out dates. </w:t>
      </w:r>
      <w:r>
        <w:rPr>
          <w:rFonts w:ascii="Times New Roman" w:cs="Times New Roman" w:eastAsia="Times New Roman" w:hAnsi="Times New Roman"/>
          <w:b/>
          <w:bCs/>
          <w:highlight w:val="yellow"/>
        </w:rPr>
        <w:t xml:space="preserve">[FILL: describe a success case, e.g. both models delineate Borith Lake almost identically under clear sky.]</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describe a failure case, e.g. the fusion model misses part of the Shishper lake where it is frozen, or marks river channels near Khurdopin as water.]</w:t>
      </w:r>
      <w:r>
        <w:rPr>
          <w:rFonts w:ascii="Times New Roman" w:cs="Times New Roman" w:eastAsia="Times New Roman" w:hAnsi="Times New Roman"/>
        </w:rPr>
        <w:t xml:space="preserve"> Under simulated cloud the optical-only model predicts </w:t>
      </w:r>
      <w:r>
        <w:rPr>
          <w:rFonts w:ascii="Times New Roman" w:cs="Times New Roman" w:eastAsia="Times New Roman" w:hAnsi="Times New Roman"/>
          <w:b/>
          <w:bCs/>
          <w:highlight w:val="yellow"/>
        </w:rPr>
        <w:t xml:space="preserve">[FILL: no water / scattered false water]</w:t>
      </w:r>
      <w:r>
        <w:rPr>
          <w:rFonts w:ascii="Times New Roman" w:cs="Times New Roman" w:eastAsia="Times New Roman" w:hAnsi="Times New Roman"/>
        </w:rPr>
        <w:t xml:space="preserve">, whereas the fusion model </w:t>
      </w:r>
      <w:r>
        <w:rPr>
          <w:rFonts w:ascii="Times New Roman" w:cs="Times New Roman" w:eastAsia="Times New Roman" w:hAnsi="Times New Roman"/>
          <w:b/>
          <w:bCs/>
          <w:highlight w:val="yellow"/>
        </w:rPr>
        <w:t xml:space="preserve">[FILL: still recovers the main lake body from SAR, with smoother and slightly smaller outlines]</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320"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8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8</w:t>
            </w:r>
            <w:r>
              <w:rPr>
                <w:rFonts w:ascii="Times New Roman" w:cs="Times New Roman" w:eastAsia="Times New Roman" w:hAnsi="Times New Roman"/>
                <w:color w:val="52514E"/>
                <w:sz w:val="18"/>
                <w:szCs w:val="18"/>
              </w:rPr>
              <w:t xml:space="preserve">, second code cell (6-panel rows: image, auto label, optical, fusion, optical sim. cloud, fusion sim. cloud).</w:t>
            </w:r>
          </w:p>
          <w:p>
            <w:pPr>
              <w:spacing w:after="40"/>
              <w:jc w:val="center"/>
            </w:pPr>
            <w:r>
              <w:rPr>
                <w:rFonts w:ascii="Times New Roman" w:cs="Times New Roman" w:eastAsia="Times New Roman" w:hAnsi="Times New Roman"/>
                <w:color w:val="52514E"/>
                <w:sz w:val="18"/>
                <w:szCs w:val="18"/>
              </w:rPr>
              <w:t xml:space="preserve">In Colab: right-click each output image → Save image as… → Insert ▸ Pictures in Word. Use 2–4 rows; pick one clear success and one failure.</w:t>
            </w:r>
          </w:p>
        </w:tc>
      </w:tr>
    </w:tbl>
    <w:p>
      <w:pPr>
        <w:spacing w:after="180" w:before="6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Columns: Sentinel-2 image, automatic label, optical-only prediction, fusion prediction, and both models under simulated cloud. Include at least one success and one failure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5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9 HERE]</w:t>
            </w:r>
          </w:p>
          <w:p>
            <w:pPr>
              <w:spacing w:after="40"/>
              <w:jc w:val="center"/>
            </w:pPr>
            <w:r>
              <w:rPr>
                <w:rFonts w:ascii="Times New Roman" w:cs="Times New Roman" w:eastAsia="Times New Roman" w:hAnsi="Times New Roman"/>
                <w:color w:val="52514E"/>
                <w:sz w:val="18"/>
                <w:szCs w:val="18"/>
              </w:rPr>
              <w:t xml:space="preserve">Optional but recommended. In a new cell, pick dates with source == "optical cloudy" or "radar only" from </w:t>
            </w:r>
            <w:r>
              <w:rPr>
                <w:rFonts w:ascii="Consolas" w:cs="Consolas" w:eastAsia="Consolas" w:hAnsi="Consolas"/>
                <w:color w:val="52514E"/>
                <w:sz w:val="16"/>
                <w:szCs w:val="16"/>
              </w:rPr>
              <w:t xml:space="preserve">ts</w:t>
            </w:r>
            <w:r>
              <w:rPr>
                <w:rFonts w:ascii="Times New Roman" w:cs="Times New Roman" w:eastAsia="Times New Roman" w:hAnsi="Times New Roman"/>
                <w:color w:val="52514E"/>
                <w:sz w:val="18"/>
                <w:szCs w:val="18"/>
              </w:rPr>
              <w:t xml:space="preserve">, run </w:t>
            </w:r>
            <w:r>
              <w:rPr>
                <w:rFonts w:ascii="Consolas" w:cs="Consolas" w:eastAsia="Consolas" w:hAnsi="Consolas"/>
                <w:color w:val="52514E"/>
                <w:sz w:val="16"/>
                <w:szCs w:val="16"/>
              </w:rPr>
              <w:t xml:space="preserve">predict(model_fus, DATA[lake]["xn"][t][FUSION])</w:t>
            </w:r>
            <w:r>
              <w:rPr>
                <w:rFonts w:ascii="Times New Roman" w:cs="Times New Roman" w:eastAsia="Times New Roman" w:hAnsi="Times New Roman"/>
                <w:color w:val="52514E"/>
                <w:sz w:val="18"/>
                <w:szCs w:val="18"/>
              </w:rPr>
              <w:t xml:space="preserve"> and plot the mask next to </w:t>
            </w:r>
            <w:r>
              <w:rPr>
                <w:rFonts w:ascii="Consolas" w:cs="Consolas" w:eastAsia="Consolas" w:hAnsi="Consolas"/>
                <w:color w:val="52514E"/>
                <w:sz w:val="16"/>
                <w:szCs w:val="16"/>
              </w:rPr>
              <w:t xml:space="preserve">rgb(DATA[lake]["s2"][t])</w:t>
            </w:r>
            <w:r>
              <w:rPr>
                <w:rFonts w:ascii="Times New Roman" w:cs="Times New Roman" w:eastAsia="Times New Roman" w:hAnsi="Times New Roman"/>
                <w:color w:val="52514E"/>
                <w:sz w:val="18"/>
                <w:szCs w:val="18"/>
              </w:rPr>
              <w:t xml:space="preserve">.</w:t>
            </w:r>
          </w:p>
          <w:p>
            <w:pPr>
              <w:spacing w:after="40"/>
              <w:jc w:val="center"/>
            </w:pPr>
            <w:r>
              <w:rPr>
                <w:rFonts w:ascii="Times New Roman" w:cs="Times New Roman" w:eastAsia="Times New Roman" w:hAnsi="Times New Roman"/>
                <w:color w:val="52514E"/>
                <w:sz w:val="18"/>
                <w:szCs w:val="18"/>
              </w:rPr>
              <w:t xml:space="preserve">Shows the practical benefit of fusion beyond the simulated test.</w:t>
            </w:r>
          </w:p>
        </w:tc>
      </w:tr>
    </w:tbl>
    <w:p>
      <w:pPr>
        <w:spacing w:after="180" w:before="6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Fusion-model predictions on real cloud-covered and radar-only dates, where no label exists.</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10</w:t>
      </w:r>
      <w:r>
        <w:rPr>
          <w:rFonts w:ascii="Times New Roman" w:cs="Times New Roman" w:eastAsia="Times New Roman" w:hAnsi="Times New Roman"/>
        </w:rPr>
        <w:t xml:space="preserve"> shows the lake area derived by the fusion model for all dates, coloured by data source, and </w:t>
      </w:r>
      <w:r>
        <w:rPr>
          <w:rFonts w:ascii="Times New Roman" w:cs="Times New Roman" w:eastAsia="Times New Roman" w:hAnsi="Times New Roman"/>
        </w:rPr>
        <w:t xml:space="preserve">Table XIV</w:t>
      </w:r>
      <w:r>
        <w:rPr>
          <w:rFonts w:ascii="Times New Roman" w:cs="Times New Roman" w:eastAsia="Times New Roman" w:hAnsi="Times New Roman"/>
        </w:rPr>
        <w:t xml:space="preserve"> summarises the series. </w:t>
      </w:r>
      <w:r>
        <w:rPr>
          <w:rFonts w:ascii="Times New Roman" w:cs="Times New Roman" w:eastAsia="Times New Roman" w:hAnsi="Times New Roman"/>
          <w:b/>
          <w:bCs/>
          <w:highlight w:val="yellow"/>
        </w:rPr>
        <w:t xml:space="preserve">[FILL: Shishper — describe the rise of the lake in spring 2022 and the drop after 7 May 2022, and the same around 29 May 2020.]</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Khurdopin — describe presence in May–June 2017 and absence after the July 2017 drainage; near-zero area in later years.]</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Passu/Borith — describe stable area across all years.]</w:t>
      </w:r>
      <w:r>
        <w:rPr>
          <w:rFonts w:ascii="Times New Roman" w:cs="Times New Roman" w:eastAsia="Times New Roman" w:hAnsi="Times New Roman"/>
        </w:rPr>
        <w:t xml:space="preserve"> Radar-only dates add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observations inside the 90-day pre-event windows that would otherwise be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9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10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9</w:t>
            </w:r>
            <w:r>
              <w:rPr>
                <w:rFonts w:ascii="Times New Roman" w:cs="Times New Roman" w:eastAsia="Times New Roman" w:hAnsi="Times New Roman"/>
                <w:color w:val="52514E"/>
                <w:sz w:val="18"/>
                <w:szCs w:val="18"/>
              </w:rPr>
              <w:t xml:space="preserve">, the 3-panel area plot (second cell). Save the image and insert it here.</w:t>
            </w:r>
          </w:p>
        </w:tc>
      </w:tr>
    </w:tbl>
    <w:p>
      <w:pPr>
        <w:spacing w:after="180" w:before="6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Lake area from the fusion model at the three sites (points coloured by source: optical clear, optical cloudy, radar only; black line: 3-point rolling median). Dashed lines mark documented events.</w:t>
      </w:r>
    </w:p>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SUMMARY OF LAKE-AREA TIME SERIES (FUSION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67"/>
        <w:gridCol w:w="2409"/>
        <w:gridCol w:w="1252"/>
        <w:gridCol w:w="1252"/>
        <w:gridCol w:w="2316"/>
      </w:tblGrid>
      <w:tr>
        <w:trPr>
          <w:cantSplit/>
          <w:tblHeader/>
        </w:trPr>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8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240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clear / cloudy / radar-only</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Min area (km²)</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area (km²)</w:t>
            </w:r>
          </w:p>
        </w:tc>
        <w:tc>
          <w:tcPr>
            <w:tcW w:type="dxa" w:w="231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Area change around event</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7 May 2022]</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Jul 2017]</w:t>
            </w:r>
          </w:p>
        </w:tc>
      </w:tr>
      <w:tr>
        <w:trPr>
          <w:cantSplit/>
          <w:tblHeader w:val="off"/>
        </w:trPr>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8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240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9</w:t>
            </w:r>
            <w:r>
              <w:rPr>
                <w:rFonts w:ascii="Times New Roman" w:cs="Times New Roman" w:eastAsia="Times New Roman" w:hAnsi="Times New Roman"/>
                <w:sz w:val="19"/>
                <w:szCs w:val="19"/>
              </w:rPr>
              <w:t xml:space="preserve">. The first cell prints dates per lake and source (optical clear / optical cloudy / radar only). Min/max area:</w:t>
            </w:r>
          </w:p>
          <w:p>
            <w:pPr>
              <w:spacing w:after="40"/>
            </w:pPr>
            <w:r>
              <w:rPr>
                <w:rFonts w:ascii="Consolas" w:cs="Consolas" w:eastAsia="Consolas" w:hAnsi="Consolas"/>
                <w:sz w:val="17"/>
                <w:szCs w:val="17"/>
              </w:rPr>
              <w:t xml:space="preserve">ts.groupby("lake").area_smooth.agg(["min","max"]).round(3)</w:t>
            </w:r>
          </w:p>
          <w:p>
            <w:pPr>
              <w:spacing w:after="50"/>
              <w:jc w:val="left"/>
            </w:pPr>
            <w:r>
              <w:rPr>
                <w:rFonts w:ascii="Times New Roman" w:cs="Times New Roman" w:eastAsia="Times New Roman" w:hAnsi="Times New Roman"/>
                <w:sz w:val="19"/>
                <w:szCs w:val="19"/>
              </w:rPr>
              <w:t xml:space="preserve">For the event change, look at ts rows just before and after each event date, e.g.:</w:t>
            </w:r>
          </w:p>
          <w:p>
            <w:pPr>
              <w:spacing w:after="40"/>
            </w:pPr>
            <w:r>
              <w:rPr>
                <w:rFonts w:ascii="Consolas" w:cs="Consolas" w:eastAsia="Consolas" w:hAnsi="Consolas"/>
                <w:sz w:val="17"/>
                <w:szCs w:val="17"/>
              </w:rPr>
              <w:t xml:space="preserve">ts[(ts.lake=="shishper") &amp; ts.date.between("2022-04-01","2022-06-01")][["date","source","area_km2"]]</w:t>
            </w:r>
          </w:p>
        </w:tc>
      </w:tr>
    </w:tbl>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11</w:t>
      </w:r>
      <w:r>
        <w:rPr>
          <w:rFonts w:ascii="Times New Roman" w:cs="Times New Roman" w:eastAsia="Times New Roman" w:hAnsi="Times New Roman"/>
        </w:rPr>
        <w:t xml:space="preserve"> plots the hazard index of all three sites against days relative to each event, and </w:t>
      </w:r>
      <w:r>
        <w:rPr>
          <w:rFonts w:ascii="Times New Roman" w:cs="Times New Roman" w:eastAsia="Times New Roman" w:hAnsi="Times New Roman"/>
        </w:rPr>
        <w:t xml:space="preserve">Table XV</w:t>
      </w:r>
      <w:r>
        <w:rPr>
          <w:rFonts w:ascii="Times New Roman" w:cs="Times New Roman" w:eastAsia="Times New Roman" w:hAnsi="Times New Roman"/>
        </w:rPr>
        <w:t xml:space="preserve"> reports the mean and maximum index over the 90 days before each event. Before the 2022 Shishper GLOF, the event site reached a mean index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(Khurdopin) and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(Borith Lake). </w:t>
      </w:r>
      <w:r>
        <w:rPr>
          <w:rFonts w:ascii="Times New Roman" w:cs="Times New Roman" w:eastAsia="Times New Roman" w:hAnsi="Times New Roman"/>
          <w:b/>
          <w:bCs/>
          <w:highlight w:val="yellow"/>
        </w:rPr>
        <w:t xml:space="preserve">[FILL: same sentence for Shishper 2020 and Khurdopin 2017.]</w:t>
      </w:r>
      <w:r>
        <w:rPr>
          <w:rFonts w:ascii="Times New Roman" w:cs="Times New Roman" w:eastAsia="Times New Roman" w:hAnsi="Times New Roman"/>
        </w:rPr>
        <w:t xml:space="preserve"> The event site had the highest pre-event mean index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event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032"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11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10</w:t>
            </w:r>
            <w:r>
              <w:rPr>
                <w:rFonts w:ascii="Times New Roman" w:cs="Times New Roman" w:eastAsia="Times New Roman" w:hAnsi="Times New Roman"/>
                <w:color w:val="52514E"/>
                <w:sz w:val="18"/>
                <w:szCs w:val="18"/>
              </w:rPr>
              <w:t xml:space="preserve">, the 3-panel event-window plot. Save the image and insert it here.</w:t>
            </w:r>
          </w:p>
        </w:tc>
      </w:tr>
    </w:tbl>
    <w:p>
      <w:pPr>
        <w:spacing w:after="180" w:before="60"/>
        <w:jc w:val="both"/>
      </w:pPr>
      <w:r>
        <w:rPr>
          <w:rFonts w:ascii="Times New Roman" w:cs="Times New Roman" w:eastAsia="Times New Roman" w:hAnsi="Times New Roman"/>
          <w:sz w:val="18"/>
          <w:szCs w:val="18"/>
        </w:rPr>
        <w:t xml:space="preserve">Fig. 11. </w:t>
      </w:r>
      <w:r>
        <w:rPr>
          <w:rFonts w:ascii="Times New Roman" w:cs="Times New Roman" w:eastAsia="Times New Roman" w:hAnsi="Times New Roman"/>
          <w:sz w:val="18"/>
          <w:szCs w:val="18"/>
        </w:rPr>
        <w:t xml:space="preserve">Hazard index of the three sites in the 90 days before and 45 days after each documented event (3-point rolling mean).</w:t>
      </w: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HAZARD INDEX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1542"/>
        <w:gridCol w:w="1542"/>
        <w:gridCol w:w="154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 window (90 d before)</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Site</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index</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index</w:t>
            </w:r>
          </w:p>
        </w:tc>
        <w:tc>
          <w:tcPr>
            <w:tcW w:type="dxa" w:w="154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2017</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10</w:t>
            </w:r>
            <w:r>
              <w:rPr>
                <w:rFonts w:ascii="Times New Roman" w:cs="Times New Roman" w:eastAsia="Times New Roman" w:hAnsi="Times New Roman"/>
                <w:sz w:val="19"/>
                <w:szCs w:val="19"/>
              </w:rPr>
              <w:t xml:space="preserve">, the table printed below the plot (columns </w:t>
            </w:r>
            <w:r>
              <w:rPr>
                <w:rFonts w:ascii="Times New Roman" w:cs="Times New Roman" w:eastAsia="Times New Roman" w:hAnsi="Times New Roman"/>
                <w:i/>
                <w:iCs/>
                <w:sz w:val="19"/>
                <w:szCs w:val="19"/>
              </w:rPr>
              <w:t xml:space="preserve">mean_score_before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max_score_before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n_dates_before</w:t>
            </w:r>
            <w:r>
              <w:rPr>
                <w:rFonts w:ascii="Times New Roman" w:cs="Times New Roman" w:eastAsia="Times New Roman" w:hAnsi="Times New Roman"/>
                <w:sz w:val="19"/>
                <w:szCs w:val="19"/>
              </w:rPr>
              <w:t xml:space="preserve">). Copy values with 3 decimals; bold the highest mean per event window.</w:t>
            </w:r>
          </w:p>
        </w:tc>
      </w:tr>
    </w:tbl>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XVI</w:t>
      </w:r>
      <w:r>
        <w:rPr>
          <w:rFonts w:ascii="Times New Roman" w:cs="Times New Roman" w:eastAsia="Times New Roman" w:hAnsi="Times New Roman"/>
        </w:rPr>
        <w:t xml:space="preserve"> lists model size and run times. Both models have practically the same size (the fusion model adds only the weights of four extra input channels in the first convolution), so the fusion model's </w:t>
      </w:r>
      <w:r>
        <w:rPr>
          <w:rFonts w:ascii="Times New Roman" w:cs="Times New Roman" w:eastAsia="Times New Roman" w:hAnsi="Times New Roman"/>
          <w:b/>
          <w:bCs/>
          <w:highlight w:val="yellow"/>
        </w:rPr>
        <w:t xml:space="preserve">[FILL: gain / difference]</w:t>
      </w:r>
      <w:r>
        <w:rPr>
          <w:rFonts w:ascii="Times New Roman" w:cs="Times New Roman" w:eastAsia="Times New Roman" w:hAnsi="Times New Roman"/>
        </w:rPr>
        <w:t xml:space="preserve"> in robustness comes at no meaningful computational cost. On a Colab T4 GPU training takes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minutes per model; on a 4-thread laptop CPU a training step takes about 2.6 s, which makes CPU training impractical (≈ 2.2 h for both models).</w:t>
      </w: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2313"/>
        <w:gridCol w:w="2314"/>
      </w:tblGrid>
      <w:tr>
        <w:trPr>
          <w:cantSplit/>
          <w:tblHeader/>
        </w:trPr>
        <w:tc>
          <w:tcPr>
            <w:tcW w:type="dxa" w:w="5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2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3,000 iterations (Colab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time per 448 × 448 image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Peak GPU memory</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r>
      <w:tr>
        <w:trPr>
          <w:cantSplit/>
          <w:tblHeader w:val="off"/>
        </w:trPr>
        <w:tc>
          <w:tcPr>
            <w:tcW w:type="dxa" w:w="5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 8 parallel requests)</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2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Parameters and CPU timings are real (measured locally). For GPU numbers add, in section 7, </w:t>
            </w:r>
            <w:r>
              <w:rPr>
                <w:rFonts w:ascii="Consolas" w:cs="Consolas" w:eastAsia="Consolas" w:hAnsi="Consolas"/>
                <w:sz w:val="17"/>
                <w:szCs w:val="17"/>
              </w:rPr>
              <w:t xml:space="preserve">import time; t0=time.time()</w:t>
            </w:r>
            <w:r>
              <w:rPr>
                <w:rFonts w:ascii="Times New Roman" w:cs="Times New Roman" w:eastAsia="Times New Roman" w:hAnsi="Times New Roman"/>
                <w:sz w:val="19"/>
                <w:szCs w:val="19"/>
              </w:rPr>
              <w:t xml:space="preserve"> before each train(...) call and </w:t>
            </w:r>
            <w:r>
              <w:rPr>
                <w:rFonts w:ascii="Consolas" w:cs="Consolas" w:eastAsia="Consolas" w:hAnsi="Consolas"/>
                <w:sz w:val="17"/>
                <w:szCs w:val="17"/>
              </w:rPr>
              <w:t xml:space="preserve">print(time.time()-t0)</w:t>
            </w:r>
            <w:r>
              <w:rPr>
                <w:rFonts w:ascii="Times New Roman" w:cs="Times New Roman" w:eastAsia="Times New Roman" w:hAnsi="Times New Roman"/>
                <w:sz w:val="19"/>
                <w:szCs w:val="19"/>
              </w:rPr>
              <w:t xml:space="preserve"> after.</w:t>
            </w:r>
          </w:p>
          <w:p>
            <w:pPr>
              <w:spacing w:after="50"/>
              <w:jc w:val="left"/>
            </w:pPr>
            <w:r>
              <w:rPr>
                <w:rFonts w:ascii="Times New Roman" w:cs="Times New Roman" w:eastAsia="Times New Roman" w:hAnsi="Times New Roman"/>
                <w:sz w:val="19"/>
                <w:szCs w:val="19"/>
              </w:rPr>
              <w:t xml:space="preserve">Inference time: </w:t>
            </w:r>
            <w:r>
              <w:rPr>
                <w:rFonts w:ascii="Consolas" w:cs="Consolas" w:eastAsia="Consolas" w:hAnsi="Consolas"/>
                <w:sz w:val="17"/>
                <w:szCs w:val="17"/>
              </w:rPr>
              <w:t xml:space="preserve">%timeit predict(model_fus, DATA["passu"]["xn"][0][FUSION])</w:t>
            </w:r>
            <w:r>
              <w:rPr>
                <w:rFonts w:ascii="Times New Roman" w:cs="Times New Roman" w:eastAsia="Times New Roman" w:hAnsi="Times New Roman"/>
                <w:sz w:val="19"/>
                <w:szCs w:val="19"/>
              </w:rPr>
              <w:t xml:space="preserve">. GPU memory: </w:t>
            </w:r>
            <w:r>
              <w:rPr>
                <w:rFonts w:ascii="Consolas" w:cs="Consolas" w:eastAsia="Consolas" w:hAnsi="Consolas"/>
                <w:sz w:val="17"/>
                <w:szCs w:val="17"/>
              </w:rPr>
              <w:t xml:space="preserve">torch.cuda.max_memory_allocated()/1e9</w:t>
            </w:r>
            <w:r>
              <w:rPr>
                <w:rFonts w:ascii="Times New Roman" w:cs="Times New Roman" w:eastAsia="Times New Roman" w:hAnsi="Times New Roman"/>
                <w:sz w:val="19"/>
                <w:szCs w:val="19"/>
              </w:rPr>
              <w:t xml:space="preserve">. GPU model: </w:t>
            </w:r>
            <w:r>
              <w:rPr>
                <w:rFonts w:ascii="Consolas" w:cs="Consolas" w:eastAsia="Consolas" w:hAnsi="Consolas"/>
                <w:sz w:val="17"/>
                <w:szCs w:val="17"/>
              </w:rPr>
              <w:t xml:space="preserve">!nvidia-smi</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b/>
          <w:bCs/>
          <w:highlight w:val="yellow"/>
        </w:rPr>
        <w:t xml:space="preserve">[FILL: best model]</w:t>
      </w:r>
      <w:r>
        <w:rPr>
          <w:rFonts w:ascii="Times New Roman" w:cs="Times New Roman" w:eastAsia="Times New Roman" w:hAnsi="Times New Roman"/>
        </w:rPr>
        <w:t xml:space="preserve"> achieved the best segmentation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F1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Under simulated complete cloud cover the fusion model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while the optical-only model fell to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(RQ1). The fusion-model time series resolved the drainage of the Shishper lake after 29 May 2020 and 7 May 2022 and of the Khurdopin lake in July 2017, with Borith Lake stable throughout (RQ2). The hazard index was highest at the event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 (RQ3).</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3 — Paper up to Experiments and Results</dc:title>
  <dc:creator>Muhammad Ali Saleem, Junaid Minhas, Safee Akmal</dc:creator>
  <cp:lastModifiedBy>Un-named</cp:lastModifiedBy>
  <cp:revision>1</cp:revision>
  <dcterms:created xsi:type="dcterms:W3CDTF">2026-10-03T21:34:44.566Z</dcterms:created>
  <dcterms:modified xsi:type="dcterms:W3CDTF">2026-10-03T21:34:44.566Z</dcterms:modified>
</cp:coreProperties>
</file>

<file path=docProps/custom.xml><?xml version="1.0" encoding="utf-8"?>
<Properties xmlns="http://schemas.openxmlformats.org/officeDocument/2006/custom-properties" xmlns:vt="http://schemas.openxmlformats.org/officeDocument/2006/docPropsVTypes"/>
</file>