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VoiceGuard V8 — Asymmetric Operating Thresholds</w:t>
      </w:r>
    </w:p>
    <w:p>
      <w:pPr>
        <w:spacing w:after="320"/>
      </w:pPr>
      <w:r>
        <w:rPr>
          <w:i/>
          <w:iCs/>
          <w:color w:val="555555"/>
          <w:sz w:val="24"/>
          <w:szCs w:val="24"/>
        </w:rPr>
        <w:t xml:space="preserve">Cost-Function Rationale by Use Case — Phase 6, Task 5</w:t>
      </w:r>
    </w:p>
    <w:p>
      <w:pPr>
        <w:pStyle w:val="Heading1"/>
      </w:pPr>
      <w:r>
        <w:t xml:space="preserve">Purpose and Scope</w:t>
      </w:r>
    </w:p>
    <w:p>
      <w:pPr>
        <w:spacing w:after="160"/>
      </w:pPr>
      <w:r>
        <w:rPr>
          <w:b w:val="false"/>
          <w:bCs w:val="false"/>
          <w:i w:val="false"/>
          <w:iCs w:val="false"/>
        </w:rPr>
        <w:t xml:space="preserve">VoiceGuard V8 produces a single calibrated score per audio sample, mapped to four verdict bands: auto_real (score &lt; 0.30), to_review (0.30–0.55), likely_fake (0.55–0.85), and auto_fake (≥0.85). These bands are fixed, validated thresholds and are not altered by this document.</w:t>
      </w:r>
    </w:p>
    <w:p>
      <w:pPr>
        <w:spacing w:after="160"/>
      </w:pPr>
      <w:r>
        <w:rPr>
          <w:b w:val="false"/>
          <w:bCs w:val="false"/>
          <w:i w:val="false"/>
          <w:iCs w:val="false"/>
        </w:rPr>
        <w:t xml:space="preserve">What varies by use case is not the score threshold itself, but the ACTION triggered at each band. A score in the to_review band justifies a very different response in CEO-impersonation payment fraud (where a single missed attack can exceed $25M) than it does in insurance claims verification (where a wrongful fraud accusation carries its own legal and reputational cost). This document defines, for each of the four enterprise use cases in scope, the action mapped to each score band and the cost-function reasoning behind it.</w:t>
      </w:r>
    </w:p>
    <w:p>
      <w:pPr>
        <w:pStyle w:val="Heading2"/>
      </w:pPr>
      <w:r>
        <w:t xml:space="preserve">Cost-Function Framework</w:t>
      </w:r>
    </w:p>
    <w:p>
      <w:pPr>
        <w:spacing w:after="160"/>
      </w:pPr>
      <w:r>
        <w:rPr>
          <w:b w:val="false"/>
          <w:bCs w:val="false"/>
          <w:i w:val="false"/>
          <w:iCs w:val="false"/>
        </w:rPr>
        <w:t xml:space="preserve">Each use case is governed by two costs: C_FN, the cost of a false negative (a synthetic voice that V8 fails to flag), and C_FP, the cost of a false positive (genuine audio that V8 incorrectly flags). The expected cost of any operating policy is, informally:</w:t>
      </w:r>
    </w:p>
    <w:p>
      <w:pPr>
        <w:spacing w:after="160"/>
      </w:pPr>
      <w:r>
        <w:rPr>
          <w:b w:val="false"/>
          <w:bCs w:val="false"/>
          <w:i/>
          <w:iCs/>
        </w:rPr>
        <w:t xml:space="preserve">Expected Cost  =  C_FN × P(fake) × FNR(threshold)  +  C_FP × P(real) × FPR(threshold)</w:t>
      </w:r>
    </w:p>
    <w:p>
      <w:pPr>
        <w:spacing w:after="160"/>
      </w:pPr>
      <w:r>
        <w:rPr>
          <w:b w:val="false"/>
          <w:bCs w:val="false"/>
          <w:i w:val="false"/>
          <w:iCs w:val="false"/>
        </w:rPr>
        <w:t xml:space="preserve">The relevant business decision is not the absolute value of either cost, but their RATIO. Where C_FN/C_FP is very large (e.g. CEO/CFO impersonation), the policy should accept a high false-positive cost (frequent friction) to minimize any chance of a false negative. Where the ratio is closer to balanced — or where C_FP carries its own legal/reputational weight, as in insurance claims — the policy should preserve human judgment even at high-confidence scores rather than acting automatically.</w:t>
      </w:r>
    </w:p>
    <w:p>
      <w:pPr>
        <w:pBdr>
          <w:bottom w:val="single" w:color="2E75B6" w:sz="6" w:space="1"/>
        </w:pBdr>
        <w:spacing w:after="100"/>
      </w:pPr>
    </w:p>
    <w:p>
      <w:pPr>
        <w:pStyle w:val="Heading2"/>
      </w:pPr>
      <w:r>
        <w:t xml:space="preserve">Summary: Cost Asymmetry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Use Case</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Dominant Cost Term</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Asymmetry 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Lowest Action Band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Telephone banking fraud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C_FN (fraud loss)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C_FN &gt;&gt; C_FP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to_review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CEO/CFO impersonation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C_FN ($25M+ incidents)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C_FN &gt;&gt;&gt; C_FP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to_review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KYC voice liveness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Balanced: fraud risk vs. conversion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C_FN &gt; C_FP, moderately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to_review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Insurance claims verification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C_FP (wrongful accusation: legal/reputational)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C_FP meaningful, even at high 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likely_fake</w:t>
            </w:r>
          </w:p>
        </w:tc>
      </w:tr>
    </w:tbl>
    <w:p>
      <w:pPr>
        <w:spacing w:after="200"/>
      </w:pPr>
      <w:r>
        <w:t xml:space="preserve"/>
      </w:r>
    </w:p>
    <w:p>
      <w:pPr>
        <w:pStyle w:val="Heading1"/>
      </w:pPr>
      <w:r>
        <w:t xml:space="preserve">Use Case 1 — Real-Time Telephone Banking Fraud Prevention</w:t>
      </w:r>
    </w:p>
    <w:p>
      <w:pPr>
        <w:spacing w:after="160"/>
      </w:pPr>
      <w:r>
        <w:rPr>
          <w:b w:val="false"/>
          <w:bCs w:val="false"/>
          <w:i w:val="false"/>
          <w:iCs w:val="false"/>
        </w:rPr>
        <w:t xml:space="preserve">Context: the detector runs inline on a live call stream, flagging synthetic voice attempting to impersonate a customer to a bank agent or IVR system. A successful, undetected clone can authorize fraudulent transactions; the cost of one prevented incident typically covers years of system operating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Score Band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Triggered Action</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auto_real (&lt;0.30)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action — call proceeds normally.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Score below threshold; no meaningful evidence of synthesis.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to_review (0.30–0.55)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Inline step-up authentication (extra verification question) before the call proceeds.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Low-cost friction is justified even at moderate uncertainty, since C_FN (fraud loss) is large relative to C_FP (one extra question).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likely_fake (0.55–0.85)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Hold call, route to fraud agent for live verification.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Meaningful evidence of synthesis; cost of a short hold is negligible against potential fraud loss.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auto_fake (≥0.85)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Block call, alert fraud team immediately.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High-confidence synthetic voice; immediate action minimizes exposure window.</w:t>
            </w:r>
          </w:p>
        </w:tc>
      </w:tr>
    </w:tbl>
    <w:p>
      <w:pPr>
        <w:pStyle w:val="Heading1"/>
      </w:pPr>
      <w:r>
        <w:t xml:space="preserve">Use Case 2 — CEO / CFO Voice Impersonation in Payment Authorization</w:t>
      </w:r>
    </w:p>
    <w:p>
      <w:pPr>
        <w:spacing w:after="160"/>
      </w:pPr>
      <w:r>
        <w:rPr>
          <w:b w:val="false"/>
          <w:bCs w:val="false"/>
          <w:i w:val="false"/>
          <w:iCs w:val="false"/>
        </w:rPr>
        <w:t xml:space="preserve">Context: finance staff receive a voice note or call appearing to be a senior executive authorizing an urgent wire transfer. This is the most cost-asymmetric use case in scope — documented losses from this specific attack pattern exceed $25 million per incident globally — and the threshold-to-action mapping reflects that even modest uncertainty should trigger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Score Band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Triggered Action</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auto_real (&lt;0.30)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Standard authorization workflow proceeds.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indication of synthesis; ordinary controls remain in force.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to_review (0.30–0.55)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Mandatory callback verification via a separate, pre-established channel before any transfer is initiated.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Even moderate uncertainty warrants friction: documented losses from this attack exceed $25M per incident, so C_FN vastly exceeds the cost of a callback.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likely_fake (0.55–0.85)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Block transfer; require manual confirmation directly from the named executive.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At this confidence level, proceeding without independent confirmation is not justifiable given the scale of potential loss.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auto_fake (≥0.85)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Block transfer; escalate to security team for incident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High-confidence synthetic voice in a high-value context; treated as an active attack, not a false-alarm risk.</w:t>
            </w:r>
          </w:p>
        </w:tc>
      </w:tr>
    </w:tbl>
    <w:p>
      <w:pPr>
        <w:pStyle w:val="Heading1"/>
      </w:pPr>
      <w:r>
        <w:t xml:space="preserve">Use Case 3 — KYC Voice Liveness Detection</w:t>
      </w:r>
    </w:p>
    <w:p>
      <w:pPr>
        <w:spacing w:after="160"/>
      </w:pPr>
      <w:r>
        <w:rPr>
          <w:b w:val="false"/>
          <w:bCs w:val="false"/>
          <w:i w:val="false"/>
          <w:iCs w:val="false"/>
        </w:rPr>
        <w:t xml:space="preserve">Context: banks and fintechs using voice biometrics for remote onboarding need confirmation that the applicant is a live human rather than synthetic audio played back during identity verification. Unlike Use Cases 1 and 2, this context must also weigh onboarding conversion — excessive friction on genuine applicants has a direct, measurable business cost — producing a more moderate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Score Band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Triggered Action</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auto_real (&lt;0.30)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Liveness check passes; onboarding proceeds.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meaningful evidence of synthesis at this band.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to_review (0.30–0.55)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Secondary liveness check (e.g. randomized phrase repetition).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Balances fraud risk against onboarding conversion: a single extra step has low cost and resolves most ambiguous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likely_fake (0.55–0.85)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Reject automated onboarding; route to manual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Cost of onboarding a synthetic identity (ongoing account fraud) outweighs the cost of a manual review delay for a genuine applicant.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auto_fake (≥0.85)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Reject onboarding; flag the associated account/application for fraud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High-confidence synthetic voice during identity verification is treated as an active fraud attempt.</w:t>
            </w:r>
          </w:p>
        </w:tc>
      </w:tr>
    </w:tbl>
    <w:p>
      <w:pPr>
        <w:pStyle w:val="Heading1"/>
      </w:pPr>
      <w:r>
        <w:t xml:space="preserve">Use Case 4 — Insurance Claims Audio Verification</w:t>
      </w:r>
    </w:p>
    <w:p>
      <w:pPr>
        <w:spacing w:after="160"/>
      </w:pPr>
      <w:r>
        <w:rPr>
          <w:b w:val="false"/>
          <w:bCs w:val="false"/>
          <w:i w:val="false"/>
          <w:iCs w:val="false"/>
        </w:rPr>
        <w:t xml:space="preserve">Context: claimants submit recorded statements, witness audio, or dashcam voice recordings as part of a claim. This use case has a materially different cost structure from the first three: a false positive here is not merely an inconvenience but a potential legal and reputational harm, since it amounts to an automated fraud accusation against a policyholder. For this reason, no score band in this use case triggers an automated denial — a human adjuster makes the final call in every case where V8 raises a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Score Band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Triggered Action</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auto_real (&lt;0.30)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action; claim proceeds through standard processing.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meaningful evidence of synthesis.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to_review (0.30–0.55)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automated action; score retained in the claim file for reference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At this confidence level, flagging risks no practical benefit and carries reputational/legal exposure if the claimant is genuine.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likely_fake (0.55–0.85)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Flag for human adjuster review. The adjuster decides; the claim is not automatically delayed or denied.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C_FP here includes legal and reputational cost of wrongly accusing a genuine claimant — human judgment is retained even at meaningful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auto_fake (≥0.85)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Flag for priority adjuster review. Still routed to a human, not auto-denied.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Even at high confidence, automated denial is avoided: a false accusation carries cost (legal, reputational, regulatory) that does not apply symmetrically to the other three use cases in this document.</w:t>
            </w:r>
          </w:p>
        </w:tc>
      </w:tr>
    </w:tbl>
    <w:p>
      <w:pPr>
        <w:pStyle w:val="Heading1"/>
      </w:pPr>
      <w:r>
        <w:t xml:space="preserve">Governance Notes</w:t>
      </w:r>
    </w:p>
    <w:p>
      <w:pPr>
        <w:pStyle w:val="ListParagraph"/>
        <w:numPr>
          <w:ilvl w:val="0"/>
          <w:numId w:val="2"/>
        </w:numPr>
        <w:spacing w:after="80"/>
      </w:pPr>
      <w:r>
        <w:rPr>
          <w:b w:val="false"/>
          <w:bCs w:val="false"/>
        </w:rPr>
        <w:t xml:space="preserve">These action mappings apply the EXISTING, already-validated V8 score thresholds (auto_real / to_review / likely_fake / auto_fake). No new score thresholds were introduced or re-calibrated as part of this document.</w:t>
      </w:r>
    </w:p>
    <w:p>
      <w:pPr>
        <w:pStyle w:val="ListParagraph"/>
        <w:numPr>
          <w:ilvl w:val="0"/>
          <w:numId w:val="2"/>
        </w:numPr>
        <w:spacing w:after="80"/>
      </w:pPr>
      <w:r>
        <w:rPr>
          <w:b w:val="false"/>
          <w:bCs w:val="false"/>
        </w:rPr>
        <w:t xml:space="preserve">Each use case's auto_fake band is treated differently by design: banking and CEO-impersonation trigger an immediate block, KYC triggers rejection with fraud-review flagging, and insurance claims route to a human adjuster rather than an automated denial. This is the documented, defensible difference required by the exit gate.</w:t>
      </w:r>
    </w:p>
    <w:p>
      <w:pPr>
        <w:pStyle w:val="ListParagraph"/>
        <w:numPr>
          <w:ilvl w:val="0"/>
          <w:numId w:val="2"/>
        </w:numPr>
        <w:spacing w:after="80"/>
      </w:pPr>
      <w:r>
        <w:rPr>
          <w:b w:val="false"/>
          <w:bCs w:val="false"/>
        </w:rPr>
        <w:t xml:space="preserve">Any future change to the underlying V8 score thresholds (the band boundaries themselves) would require this document to be revisited, since the action mappings here are calibrated against the current 0.30 / 0.55 / 0.85 boundaries specifically.</w:t>
      </w:r>
    </w:p>
    <w:p>
      <w:pPr>
        <w:pStyle w:val="ListParagraph"/>
        <w:numPr>
          <w:ilvl w:val="0"/>
          <w:numId w:val="2"/>
        </w:numPr>
        <w:spacing w:after="80"/>
      </w:pPr>
      <w:r>
        <w:rPr>
          <w:b w:val="false"/>
          <w:bCs w:val="false"/>
        </w:rPr>
        <w:t xml:space="preserve">This document is intended to feed directly into the Phase 6, Task 6 legal explainability report template, since the action-per-score-band logic described here is part of what a non-technical reviewer or auditor would need to understand V8's operational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F4E5F"/>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2026-06-27T20:26:15.947Z</dcterms:created>
  <dcterms:modified xsi:type="dcterms:W3CDTF">2026-06-27T20:26:15.947Z</dcterms:modified>
</cp:coreProperties>
</file>

<file path=docProps/custom.xml><?xml version="1.0" encoding="utf-8"?>
<Properties xmlns="http://schemas.openxmlformats.org/officeDocument/2006/custom-properties" xmlns:vt="http://schemas.openxmlformats.org/officeDocument/2006/docPropsVTypes"/>
</file>