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-1128395</wp:posOffset>
            </wp:positionH>
            <wp:positionV relativeFrom="paragraph">
              <wp:posOffset>-551180</wp:posOffset>
            </wp:positionV>
            <wp:extent cx="7558405" cy="10691495"/>
            <wp:effectExtent l="0" t="0" r="4445" b="14605"/>
            <wp:wrapNone/>
            <wp:docPr id="16" name="图片 16" descr="涵诗凡妮-荣誉证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6CB1391"/>
    <w:rsid w:val="07A3038B"/>
    <w:rsid w:val="07D51F4E"/>
    <w:rsid w:val="0FB87350"/>
    <w:rsid w:val="166C6F63"/>
    <w:rsid w:val="2CA2309C"/>
    <w:rsid w:val="2D652ADB"/>
    <w:rsid w:val="2D9E4378"/>
    <w:rsid w:val="38C93620"/>
    <w:rsid w:val="3AD41DD8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C0FACA804CF945718941BB7DB8A95F11</vt:lpwstr>
  </property>
</Properties>
</file>