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FC" w:rsidRPr="00EF52F8" w:rsidRDefault="006138FC" w:rsidP="006138FC">
      <w:pPr>
        <w:ind w:left="3132" w:hangingChars="600" w:hanging="3132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（六）</w:t>
      </w:r>
      <w:proofErr w:type="spellStart"/>
      <w:r w:rsidRPr="00EF52F8">
        <w:rPr>
          <w:rFonts w:ascii="楷体" w:eastAsia="楷体" w:hAnsi="楷体" w:hint="eastAsia"/>
          <w:b/>
          <w:sz w:val="52"/>
          <w:szCs w:val="52"/>
        </w:rPr>
        <w:t>Amihud</w:t>
      </w:r>
      <w:proofErr w:type="spellEnd"/>
      <w:r w:rsidRPr="00EF52F8">
        <w:rPr>
          <w:rFonts w:ascii="楷体" w:eastAsia="楷体" w:hAnsi="楷体" w:hint="eastAsia"/>
          <w:b/>
          <w:sz w:val="52"/>
          <w:szCs w:val="52"/>
        </w:rPr>
        <w:t>(2002)</w:t>
      </w:r>
      <w:r>
        <w:rPr>
          <w:rFonts w:ascii="楷体" w:eastAsia="楷体" w:hAnsi="楷体" w:hint="eastAsia"/>
          <w:b/>
          <w:sz w:val="52"/>
          <w:szCs w:val="52"/>
        </w:rPr>
        <w:t>模型估算反流动性指标</w:t>
      </w:r>
    </w:p>
    <w:p w:rsidR="006138FC" w:rsidRPr="00DC246A" w:rsidRDefault="006138FC" w:rsidP="006138FC">
      <w:pPr>
        <w:tabs>
          <w:tab w:val="num" w:pos="720"/>
        </w:tabs>
        <w:ind w:firstLineChars="150" w:firstLine="480"/>
        <w:rPr>
          <w:rFonts w:ascii="楷体" w:eastAsia="楷体" w:hAnsi="楷体"/>
          <w:sz w:val="32"/>
          <w:szCs w:val="32"/>
        </w:rPr>
      </w:pPr>
      <w:proofErr w:type="spellStart"/>
      <w:r w:rsidRPr="00DC246A">
        <w:rPr>
          <w:rFonts w:ascii="楷体" w:eastAsia="楷体" w:hAnsi="楷体" w:hint="eastAsia"/>
          <w:sz w:val="32"/>
          <w:szCs w:val="32"/>
        </w:rPr>
        <w:t>Amihud</w:t>
      </w:r>
      <w:proofErr w:type="spellEnd"/>
      <w:r w:rsidRPr="00DC246A">
        <w:rPr>
          <w:rFonts w:ascii="楷体" w:eastAsia="楷体" w:hAnsi="楷体" w:hint="eastAsia"/>
          <w:sz w:val="32"/>
          <w:szCs w:val="32"/>
        </w:rPr>
        <w:t>(2002)认为流动性反映的是一系列订单对价格的影响。其反流动性指标定义如下：</w:t>
      </w:r>
    </w:p>
    <w:p w:rsidR="006138FC" w:rsidRPr="00DC246A" w:rsidRDefault="006138FC" w:rsidP="006138FC">
      <w:pPr>
        <w:ind w:firstLineChars="0" w:firstLine="480"/>
        <w:rPr>
          <w:rFonts w:ascii="楷体" w:eastAsia="楷体" w:hAnsi="楷体"/>
          <w:sz w:val="32"/>
          <w:szCs w:val="32"/>
        </w:rPr>
      </w:pPr>
      <w:r w:rsidRPr="00DC246A">
        <w:rPr>
          <w:rFonts w:ascii="楷体" w:eastAsia="楷体" w:hAnsi="楷体" w:hint="eastAsia"/>
          <w:sz w:val="32"/>
          <w:szCs w:val="32"/>
        </w:rPr>
        <w:t xml:space="preserve">             </w:t>
      </w:r>
      <m:oMath>
        <m:sSub>
          <m:sSubPr>
            <m:ctrlPr>
              <w:rPr>
                <w:rFonts w:ascii="Cambria Math" w:eastAsia="楷体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illiq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t</m:t>
            </m:r>
          </m:sub>
        </m:sSub>
      </m:oMath>
      <w:r w:rsidRPr="00DC246A">
        <w:rPr>
          <w:rFonts w:ascii="楷体" w:eastAsia="楷体" w:hAnsi="楷体" w:hint="eastAsia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楷体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32"/>
                    <w:szCs w:val="32"/>
                  </w:rPr>
                  <m:t>|R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32"/>
                    <w:szCs w:val="3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|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32"/>
                    <w:szCs w:val="3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×</m:t>
            </m:r>
            <m:sSub>
              <m:sSubPr>
                <m:ctrlPr>
                  <w:rPr>
                    <w:rFonts w:ascii="Cambria Math" w:eastAsia="楷体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32"/>
                    <w:szCs w:val="32"/>
                  </w:rPr>
                  <m:t>t</m:t>
                </m:r>
              </m:sub>
            </m:sSub>
          </m:den>
        </m:f>
      </m:oMath>
    </w:p>
    <w:p w:rsidR="006138FC" w:rsidRPr="00DC246A" w:rsidRDefault="006138FC" w:rsidP="006138FC">
      <w:pPr>
        <w:tabs>
          <w:tab w:val="num" w:pos="720"/>
        </w:tabs>
        <w:ind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其中</w:t>
      </w:r>
      <m:oMath>
        <m:sSub>
          <m:sSubPr>
            <m:ctrlPr>
              <w:rPr>
                <w:rFonts w:ascii="Cambria Math" w:eastAsia="楷体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32"/>
                <w:szCs w:val="32"/>
              </w:rPr>
              <m:t>t</m:t>
            </m:r>
          </m:sub>
        </m:sSub>
      </m:oMath>
      <w:r w:rsidRPr="00DC246A">
        <w:rPr>
          <w:rFonts w:ascii="楷体" w:eastAsia="楷体" w:hAnsi="楷体" w:hint="eastAsia"/>
          <w:sz w:val="32"/>
          <w:szCs w:val="32"/>
        </w:rPr>
        <w:t>为第t天的日回报率，</w:t>
      </w:r>
      <w:r w:rsidRPr="00DC246A">
        <w:rPr>
          <w:rFonts w:ascii="楷体" w:eastAsia="楷体" w:hAnsi="楷体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t</m:t>
            </m:r>
          </m:sub>
        </m:sSub>
      </m:oMath>
      <w:r w:rsidRPr="00DC246A">
        <w:rPr>
          <w:rFonts w:ascii="楷体" w:eastAsia="楷体" w:hAnsi="楷体" w:hint="eastAsia"/>
          <w:sz w:val="32"/>
          <w:szCs w:val="32"/>
        </w:rPr>
        <w:t>为股票在第t天的收盘价，而</w:t>
      </w:r>
      <m:oMath>
        <m:sSub>
          <m:sSubPr>
            <m:ctrlPr>
              <w:rPr>
                <w:rFonts w:ascii="Cambria Math" w:eastAsia="楷体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32"/>
                <w:szCs w:val="32"/>
              </w:rPr>
              <m:t>t</m:t>
            </m:r>
          </m:sub>
        </m:sSub>
      </m:oMath>
      <w:r w:rsidRPr="00DC246A">
        <w:rPr>
          <w:rFonts w:ascii="楷体" w:eastAsia="楷体" w:hAnsi="楷体" w:hint="eastAsia"/>
          <w:sz w:val="32"/>
          <w:szCs w:val="32"/>
        </w:rPr>
        <w:t>为股票在第t天的交易量。</w:t>
      </w:r>
    </w:p>
    <w:p w:rsidR="006138FC" w:rsidRPr="00DC246A" w:rsidRDefault="006138FC" w:rsidP="006138FC">
      <w:pPr>
        <w:tabs>
          <w:tab w:val="num" w:pos="720"/>
        </w:tabs>
        <w:ind w:firstLine="640"/>
        <w:rPr>
          <w:rFonts w:ascii="楷体" w:eastAsia="楷体" w:hAnsi="楷体"/>
          <w:sz w:val="32"/>
          <w:szCs w:val="32"/>
        </w:rPr>
      </w:pPr>
      <w:r w:rsidRPr="00DC246A">
        <w:rPr>
          <w:rFonts w:ascii="楷体" w:eastAsia="楷体" w:hAnsi="楷体" w:hint="eastAsia"/>
          <w:sz w:val="32"/>
          <w:szCs w:val="32"/>
        </w:rPr>
        <w:t>反流动性是流动性的对立面，反流动性指标越低，流动性越高。</w:t>
      </w:r>
    </w:p>
    <w:p w:rsidR="006138FC" w:rsidRPr="00B81608" w:rsidRDefault="006138FC" w:rsidP="006138FC">
      <w:pPr>
        <w:tabs>
          <w:tab w:val="num" w:pos="720"/>
        </w:tabs>
        <w:ind w:firstLineChars="0" w:firstLine="0"/>
        <w:rPr>
          <w:rFonts w:ascii="楷体" w:eastAsia="楷体" w:hAnsi="楷体"/>
          <w:color w:val="2F5496" w:themeColor="accent1" w:themeShade="BF"/>
          <w:sz w:val="32"/>
          <w:szCs w:val="32"/>
        </w:rPr>
      </w:pPr>
      <w:r w:rsidRPr="00B81608">
        <w:rPr>
          <w:rFonts w:ascii="楷体" w:eastAsia="楷体" w:hAnsi="楷体" w:hint="eastAsia"/>
          <w:color w:val="2F5496" w:themeColor="accent1" w:themeShade="BF"/>
          <w:sz w:val="32"/>
          <w:szCs w:val="32"/>
        </w:rPr>
        <w:t>用2013年10月的交易数据估计IBM与WMT股票的</w:t>
      </w:r>
      <w:proofErr w:type="spellStart"/>
      <w:r w:rsidRPr="00B81608">
        <w:rPr>
          <w:rFonts w:ascii="楷体" w:eastAsia="楷体" w:hAnsi="楷体" w:hint="eastAsia"/>
          <w:color w:val="2F5496" w:themeColor="accent1" w:themeShade="BF"/>
          <w:sz w:val="32"/>
          <w:szCs w:val="32"/>
        </w:rPr>
        <w:t>Amihud</w:t>
      </w:r>
      <w:proofErr w:type="spellEnd"/>
      <w:r w:rsidRPr="00B81608">
        <w:rPr>
          <w:rFonts w:ascii="楷体" w:eastAsia="楷体" w:hAnsi="楷体" w:hint="eastAsia"/>
          <w:color w:val="2F5496" w:themeColor="accent1" w:themeShade="BF"/>
          <w:sz w:val="32"/>
          <w:szCs w:val="32"/>
        </w:rPr>
        <w:t>反流动性指标，并比较结果。</w:t>
      </w:r>
      <w:r w:rsidR="00E20BAE">
        <w:rPr>
          <w:rFonts w:ascii="楷体" w:eastAsia="楷体" w:hAnsi="楷体" w:hint="eastAsia"/>
          <w:color w:val="2F5496" w:themeColor="accent1" w:themeShade="BF"/>
          <w:sz w:val="32"/>
          <w:szCs w:val="32"/>
        </w:rPr>
        <w:t>数据文件分别是</w:t>
      </w:r>
      <w:r w:rsidR="00E20BAE" w:rsidRPr="00E20BAE">
        <w:rPr>
          <w:rFonts w:ascii="楷体" w:eastAsia="楷体" w:hAnsi="楷体"/>
          <w:color w:val="2F5496" w:themeColor="accent1" w:themeShade="BF"/>
          <w:sz w:val="32"/>
          <w:szCs w:val="32"/>
        </w:rPr>
        <w:t>ibmIlq.txt</w:t>
      </w:r>
      <w:r w:rsidR="00E20BAE">
        <w:rPr>
          <w:rFonts w:ascii="楷体" w:eastAsia="楷体" w:hAnsi="楷体" w:hint="eastAsia"/>
          <w:color w:val="2F5496" w:themeColor="accent1" w:themeShade="BF"/>
          <w:sz w:val="32"/>
          <w:szCs w:val="32"/>
        </w:rPr>
        <w:t>和</w:t>
      </w:r>
      <w:r w:rsidR="00E20BAE" w:rsidRPr="00E20BAE">
        <w:rPr>
          <w:rFonts w:ascii="楷体" w:eastAsia="楷体" w:hAnsi="楷体"/>
          <w:color w:val="2F5496" w:themeColor="accent1" w:themeShade="BF"/>
          <w:sz w:val="32"/>
          <w:szCs w:val="32"/>
        </w:rPr>
        <w:t>wmtIlq.txt</w:t>
      </w:r>
      <w:r w:rsidR="00E20BAE">
        <w:rPr>
          <w:rFonts w:ascii="楷体" w:eastAsia="楷体" w:hAnsi="楷体" w:hint="eastAsia"/>
          <w:color w:val="2F5496" w:themeColor="accent1" w:themeShade="BF"/>
          <w:sz w:val="32"/>
          <w:szCs w:val="32"/>
        </w:rPr>
        <w:t>。</w:t>
      </w:r>
      <w:bookmarkStart w:id="0" w:name="_GoBack"/>
      <w:bookmarkEnd w:id="0"/>
    </w:p>
    <w:p w:rsidR="006138FC" w:rsidRPr="00F63926" w:rsidRDefault="006138FC" w:rsidP="006138FC">
      <w:pPr>
        <w:ind w:firstLineChars="0" w:firstLine="480"/>
        <w:rPr>
          <w:rFonts w:ascii="楷体" w:eastAsia="楷体" w:hAnsi="楷体"/>
          <w:sz w:val="32"/>
          <w:szCs w:val="32"/>
        </w:rPr>
      </w:pPr>
    </w:p>
    <w:p w:rsidR="00F73F8E" w:rsidRPr="006138FC" w:rsidRDefault="00F73F8E" w:rsidP="00EE0791">
      <w:pPr>
        <w:ind w:firstLineChars="0" w:firstLine="480"/>
        <w:rPr>
          <w:rFonts w:ascii="楷体" w:eastAsia="楷体" w:hAnsi="楷体"/>
          <w:b/>
          <w:sz w:val="52"/>
          <w:szCs w:val="52"/>
        </w:rPr>
      </w:pPr>
    </w:p>
    <w:p w:rsidR="003544AF" w:rsidRPr="003E233A" w:rsidRDefault="003544AF" w:rsidP="003E233A">
      <w:pPr>
        <w:ind w:firstLineChars="0" w:firstLine="0"/>
        <w:rPr>
          <w:rFonts w:ascii="楷体" w:eastAsia="楷体" w:hAnsi="楷体"/>
          <w:b/>
          <w:sz w:val="52"/>
          <w:szCs w:val="52"/>
        </w:rPr>
      </w:pPr>
    </w:p>
    <w:sectPr w:rsidR="003544AF" w:rsidRPr="003E2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91" w:rsidRDefault="00224191" w:rsidP="00DB7CD4">
      <w:pPr>
        <w:spacing w:line="240" w:lineRule="auto"/>
        <w:ind w:firstLine="480"/>
      </w:pPr>
      <w:r>
        <w:separator/>
      </w:r>
    </w:p>
  </w:endnote>
  <w:endnote w:type="continuationSeparator" w:id="0">
    <w:p w:rsidR="00224191" w:rsidRDefault="00224191" w:rsidP="00DB7C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75215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91" w:rsidRDefault="00224191" w:rsidP="00DB7CD4">
      <w:pPr>
        <w:spacing w:line="240" w:lineRule="auto"/>
        <w:ind w:firstLine="480"/>
      </w:pPr>
      <w:r>
        <w:separator/>
      </w:r>
    </w:p>
  </w:footnote>
  <w:footnote w:type="continuationSeparator" w:id="0">
    <w:p w:rsidR="00224191" w:rsidRDefault="00224191" w:rsidP="00DB7C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4672"/>
    <w:multiLevelType w:val="hybridMultilevel"/>
    <w:tmpl w:val="6DEC9912"/>
    <w:lvl w:ilvl="0" w:tplc="B4361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408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1B6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6C2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7EE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0B66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4CF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CA7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BA6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FB945E2"/>
    <w:multiLevelType w:val="hybridMultilevel"/>
    <w:tmpl w:val="6A5A73D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46C77369"/>
    <w:multiLevelType w:val="hybridMultilevel"/>
    <w:tmpl w:val="FAD8FD2C"/>
    <w:lvl w:ilvl="0" w:tplc="388A6A0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D32C03"/>
    <w:multiLevelType w:val="hybridMultilevel"/>
    <w:tmpl w:val="509E14F0"/>
    <w:lvl w:ilvl="0" w:tplc="AF62C626">
      <w:start w:val="1"/>
      <w:numFmt w:val="japaneseCounting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37519"/>
    <w:multiLevelType w:val="hybridMultilevel"/>
    <w:tmpl w:val="344470D8"/>
    <w:lvl w:ilvl="0" w:tplc="9D2AF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4C4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06B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CC2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202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9AE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1AA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B0B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AC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1B"/>
    <w:rsid w:val="000302D6"/>
    <w:rsid w:val="000523A9"/>
    <w:rsid w:val="000570F2"/>
    <w:rsid w:val="000603F4"/>
    <w:rsid w:val="00075180"/>
    <w:rsid w:val="0009477A"/>
    <w:rsid w:val="00094BF0"/>
    <w:rsid w:val="000A02F7"/>
    <w:rsid w:val="0011288F"/>
    <w:rsid w:val="00126A07"/>
    <w:rsid w:val="00151DB0"/>
    <w:rsid w:val="00152C05"/>
    <w:rsid w:val="00174638"/>
    <w:rsid w:val="001B20D3"/>
    <w:rsid w:val="001C3661"/>
    <w:rsid w:val="001C4E33"/>
    <w:rsid w:val="001C57A6"/>
    <w:rsid w:val="002225A3"/>
    <w:rsid w:val="00224191"/>
    <w:rsid w:val="00227F96"/>
    <w:rsid w:val="00242E37"/>
    <w:rsid w:val="0024327C"/>
    <w:rsid w:val="0025144E"/>
    <w:rsid w:val="002945D1"/>
    <w:rsid w:val="0029671B"/>
    <w:rsid w:val="002E62E3"/>
    <w:rsid w:val="003250AD"/>
    <w:rsid w:val="003544AF"/>
    <w:rsid w:val="003A0536"/>
    <w:rsid w:val="003E233A"/>
    <w:rsid w:val="003F7B08"/>
    <w:rsid w:val="0043725F"/>
    <w:rsid w:val="0044003E"/>
    <w:rsid w:val="00450F40"/>
    <w:rsid w:val="004B517D"/>
    <w:rsid w:val="004C4E1F"/>
    <w:rsid w:val="00523784"/>
    <w:rsid w:val="0054514D"/>
    <w:rsid w:val="00565436"/>
    <w:rsid w:val="005A078C"/>
    <w:rsid w:val="005A14F7"/>
    <w:rsid w:val="005E2C5F"/>
    <w:rsid w:val="006138FC"/>
    <w:rsid w:val="0064212B"/>
    <w:rsid w:val="006A0D23"/>
    <w:rsid w:val="006B46C4"/>
    <w:rsid w:val="006B75CC"/>
    <w:rsid w:val="006C2275"/>
    <w:rsid w:val="00707BFD"/>
    <w:rsid w:val="00747FB6"/>
    <w:rsid w:val="00794E93"/>
    <w:rsid w:val="00797053"/>
    <w:rsid w:val="007B0918"/>
    <w:rsid w:val="007C5D4A"/>
    <w:rsid w:val="007D7064"/>
    <w:rsid w:val="00835C15"/>
    <w:rsid w:val="008819A0"/>
    <w:rsid w:val="00881CC6"/>
    <w:rsid w:val="00884DB7"/>
    <w:rsid w:val="00884E7F"/>
    <w:rsid w:val="008B1158"/>
    <w:rsid w:val="008B306A"/>
    <w:rsid w:val="008D122D"/>
    <w:rsid w:val="008F554D"/>
    <w:rsid w:val="00911105"/>
    <w:rsid w:val="009123F7"/>
    <w:rsid w:val="00914DB9"/>
    <w:rsid w:val="00964D69"/>
    <w:rsid w:val="00987503"/>
    <w:rsid w:val="00992A10"/>
    <w:rsid w:val="009C0263"/>
    <w:rsid w:val="009D2A4A"/>
    <w:rsid w:val="009E6354"/>
    <w:rsid w:val="00A208A5"/>
    <w:rsid w:val="00A50F4E"/>
    <w:rsid w:val="00A80608"/>
    <w:rsid w:val="00AC15B3"/>
    <w:rsid w:val="00AC7D61"/>
    <w:rsid w:val="00AD674B"/>
    <w:rsid w:val="00AF62FF"/>
    <w:rsid w:val="00B23794"/>
    <w:rsid w:val="00B545CA"/>
    <w:rsid w:val="00B5593A"/>
    <w:rsid w:val="00B81608"/>
    <w:rsid w:val="00B84C50"/>
    <w:rsid w:val="00B939FE"/>
    <w:rsid w:val="00BA187D"/>
    <w:rsid w:val="00BA69B6"/>
    <w:rsid w:val="00BB03AD"/>
    <w:rsid w:val="00C03FD6"/>
    <w:rsid w:val="00C077E0"/>
    <w:rsid w:val="00C6303B"/>
    <w:rsid w:val="00C72333"/>
    <w:rsid w:val="00C72DAD"/>
    <w:rsid w:val="00C949FA"/>
    <w:rsid w:val="00CB0E27"/>
    <w:rsid w:val="00CC23D9"/>
    <w:rsid w:val="00D2238A"/>
    <w:rsid w:val="00DA57E5"/>
    <w:rsid w:val="00DB7CD4"/>
    <w:rsid w:val="00DC67FE"/>
    <w:rsid w:val="00E20BAE"/>
    <w:rsid w:val="00E83018"/>
    <w:rsid w:val="00E84785"/>
    <w:rsid w:val="00EE0791"/>
    <w:rsid w:val="00EE1AE9"/>
    <w:rsid w:val="00F56F47"/>
    <w:rsid w:val="00F73F8E"/>
    <w:rsid w:val="00F76DFE"/>
    <w:rsid w:val="00F9624D"/>
    <w:rsid w:val="00F96BE2"/>
    <w:rsid w:val="00F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User</cp:lastModifiedBy>
  <cp:revision>102</cp:revision>
  <dcterms:created xsi:type="dcterms:W3CDTF">2019-03-19T02:27:00Z</dcterms:created>
  <dcterms:modified xsi:type="dcterms:W3CDTF">2019-10-26T10:36:00Z</dcterms:modified>
</cp:coreProperties>
</file>