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Flexy — FRA Financial Model</w:t>
      </w:r>
    </w:p>
    <w:p>
      <w:pPr>
        <w:spacing w:after="40"/>
      </w:pPr>
      <w:r>
        <w:rPr>
          <w:color w:val="595959"/>
          <w:sz w:val="30"/>
          <w:szCs w:val="30"/>
        </w:rPr>
        <w:t xml:space="preserve">Forensic Repair — Reviewer Report</w:t>
      </w:r>
    </w:p>
    <w:p>
      <w:pPr>
        <w:spacing w:after="400"/>
      </w:pPr>
      <w:r>
        <w:rPr>
          <w:i/>
          <w:iCs/>
          <w:color w:val="595959"/>
          <w:sz w:val="20"/>
          <w:szCs w:val="20"/>
        </w:rPr>
        <w:t xml:space="preserve">Prepared for internal / FRA submission readiness review — not for inclusion in the submitted workbook</w:t>
      </w:r>
    </w:p>
    <w:p>
      <w:pPr>
        <w:pStyle w:val="Heading1"/>
        <w:spacing w:after="160" w:before="360"/>
      </w:pPr>
      <w:r>
        <w:t xml:space="preserve">1. Summary</w:t>
      </w:r>
    </w:p>
    <w:p>
      <w:pPr>
        <w:spacing w:after="160"/>
      </w:pPr>
      <w:r>
        <w:t xml:space="preserve">The workbook “Flexy_FRA_Financial_Model_Year1_Year5_FINAL.xlsx” was audited and repaired, then put through a genuine full-workbook recalculation in LibreOffice Calc (after repairing a broken LibreOffice installation in the working environment — see Section 8). Two classes of defect were found and corrected: (1) the Year 2 borrowing-leverage ceiling incorrectly switching from 4× to 9× partway through Year 2, and (2) twelve cells across three sheets containing a syntactically broken, empty formula (literally “=” with no operand), which a real recalculation turns into #N/A and cascades into 1,310 error cells workbook-wide. Both are now fixed and the workbook recalculates to exactly zero errors. The approved Year 1 and Year 2 business-plan figures were confirmed unchanged against a proper, error-free recalculated baseline (zero-variance freeze test, using real computed values, not formula comparison).</w:t>
      </w:r>
    </w:p>
    <w:p>
      <w:pPr>
        <w:spacing w:after="60"/>
      </w:pPr>
      <w:r>
        <w:rPr>
          <w:b/>
          <w:bCs/>
        </w:rPr>
        <w:t xml:space="preserve">Workbook audited: </w:t>
      </w:r>
      <w:r>
        <w:rPr>
          <w:b w:val="false"/>
          <w:bCs w:val="false"/>
        </w:rPr>
        <w:t xml:space="preserve">33 sheets, 4,776 formulas after fixes</w:t>
      </w:r>
    </w:p>
    <w:p>
      <w:pPr>
        <w:spacing w:after="60"/>
      </w:pPr>
      <w:r>
        <w:rPr>
          <w:b/>
          <w:bCs/>
        </w:rPr>
        <w:t xml:space="preserve">Critical finding #1: </w:t>
      </w:r>
      <w:r>
        <w:rPr>
          <w:b/>
          <w:bCs/>
          <w:color w:val="1E7B34"/>
        </w:rPr>
        <w:t xml:space="preserve">Year 2 leverage cap defect — CORRECTED</w:t>
      </w:r>
    </w:p>
    <w:p>
      <w:pPr>
        <w:spacing w:after="60"/>
      </w:pPr>
      <w:r>
        <w:rPr>
          <w:b/>
          <w:bCs/>
        </w:rPr>
        <w:t xml:space="preserve">Critical finding #2: </w:t>
      </w:r>
      <w:r>
        <w:rPr>
          <w:b/>
          <w:bCs/>
          <w:color w:val="1E7B34"/>
        </w:rPr>
        <w:t xml:space="preserve">12 broken empty '=' formula cells (1,310 cascading #N/A errors) — CORRECTED</w:t>
      </w:r>
    </w:p>
    <w:p>
      <w:pPr>
        <w:spacing w:after="60"/>
      </w:pPr>
      <w:r>
        <w:rPr>
          <w:b/>
          <w:bCs/>
        </w:rPr>
        <w:t xml:space="preserve">Full-workbook LibreOffice recalculation: </w:t>
      </w:r>
      <w:r>
        <w:rPr>
          <w:b/>
          <w:bCs/>
          <w:color w:val="1E7B34"/>
        </w:rPr>
        <w:t xml:space="preserve">0 errors (#REF!/#DIV0!/#VALUE!/#NAME?/#NUM!/#N/A/#NULL!)</w:t>
      </w:r>
    </w:p>
    <w:p>
      <w:pPr>
        <w:spacing w:after="60"/>
      </w:pPr>
      <w:r>
        <w:rPr>
          <w:b/>
          <w:bCs/>
        </w:rPr>
        <w:t xml:space="preserve">Year 1 / Year 2 approved plan figures: </w:t>
      </w:r>
      <w:r>
        <w:rPr>
          <w:b/>
          <w:bCs/>
          <w:color w:val="1E7B34"/>
        </w:rPr>
        <w:t xml:space="preserve">0 unauthorized changes (freeze test on real recalculated values)</w:t>
      </w:r>
    </w:p>
    <w:p>
      <w:pPr>
        <w:spacing w:after="60"/>
      </w:pPr>
      <w:r>
        <w:rPr>
          <w:b/>
          <w:bCs/>
        </w:rPr>
        <w:t xml:space="preserve">All internal hyperlinks (79 total): </w:t>
      </w:r>
      <w:r>
        <w:rPr>
          <w:b/>
          <w:bCs/>
          <w:color w:val="1E7B34"/>
        </w:rPr>
        <w:t xml:space="preserve">verified intact after recalculation</w:t>
      </w:r>
    </w:p>
    <w:p>
      <w:pPr>
        <w:spacing w:after="60"/>
      </w:pPr>
      <w:r>
        <w:rPr>
          <w:b/>
          <w:bCs/>
        </w:rPr>
        <w:t xml:space="preserve">Actual Year 2 leverage result (final, corrected): </w:t>
      </w:r>
      <w:r>
        <w:rPr>
          <w:b/>
          <w:bCs/>
          <w:color w:val="C00000"/>
        </w:rPr>
        <w:t xml:space="preserve">4.86× achieved vs 4.00× cap — BREACH (honestly disclosed)</w:t>
      </w:r>
    </w:p>
    <w:p>
      <w:pPr>
        <w:pStyle w:val="Heading1"/>
        <w:spacing w:after="160" w:before="360"/>
      </w:pPr>
      <w:r>
        <w:t xml:space="preserve">2. Critical Regulatory Correction — Year 2 Leverage Ceiling</w:t>
      </w:r>
    </w:p>
    <w:p>
      <w:pPr>
        <w:pStyle w:val="Heading2"/>
        <w:spacing w:after="120" w:before="280"/>
      </w:pPr>
      <w:r>
        <w:t xml:space="preserve">2.1 What was wrong</w:t>
      </w:r>
    </w:p>
    <w:p>
      <w:pPr>
        <w:spacing w:after="160"/>
      </w:pPr>
      <w:r>
        <w:t xml:space="preserve">Assumptions!B51:F51 (the annual borrowing-leverage ceiling used throughout the model) computed the cap with:</w:t>
      </w:r>
    </w:p>
    <w:p>
      <w:pPr>
        <w:spacing w:after="160"/>
      </w:pPr>
      <w:r>
        <w:rPr>
          <w:rFonts w:ascii="Consolas" w:cs="Consolas" w:eastAsia="Consolas" w:hAnsi="Consolas"/>
          <w:sz w:val="20"/>
          <w:szCs w:val="20"/>
        </w:rPr>
        <w:t xml:space="preserve">=IF(DATE(2028,12,31)&gt;=$B$19,9,4)   ← Year 2 (column C), original formula</w:t>
      </w:r>
    </w:p>
    <w:p>
      <w:pPr>
        <w:spacing w:after="160"/>
      </w:pPr>
      <w:r>
        <w:t xml:space="preserve">B19 is management's internally targeted final-license date, which falls inside Year 2. Because the formula compared calendar year-end against that target date rather than against the actual regulatory phase, it silently switched the entire Year 2 ceiling from 4× to 9×. The identical defect existed in the month-by-month version of this test (Monthly Model!row 34, all 60 columns), which drove the same false result down into the monthly leverage-covenant test in Funding &amp; Liquidity (rows 49–60) and the Compliance / Checks / جاهزية التقديم status cells.</w:t>
      </w:r>
    </w:p>
    <w:p>
      <w:pPr>
        <w:spacing w:after="160"/>
      </w:pPr>
      <w:r>
        <w:t xml:space="preserve">Under this defect, Year 2's actual achieved leverage (bank debt ÷ net equity, correctly computed = 4.86×) was compared against a 9× ceiling and therefore displayed “متوافق” (compliant) — a false pass. Under FRA Decision 268/2023, the applicable ceiling before the final license is actually and formally issued is 4× net equity, for the entire startup/provisional period — which necessarily includes all of Year 1 and Year 2. A target date is not an issued license.</w:t>
      </w:r>
    </w:p>
    <w:p>
      <w:pPr>
        <w:pStyle w:val="Heading2"/>
        <w:spacing w:after="120" w:before="280"/>
      </w:pPr>
      <w:r>
        <w:t xml:space="preserve">2.2 What was corrected</w:t>
      </w:r>
    </w:p>
    <w:p>
      <w:pPr>
        <w:pStyle w:val="ListParagraph"/>
        <w:numPr>
          <w:ilvl w:val="0"/>
          <w:numId w:val="1"/>
        </w:numPr>
        <w:spacing w:after="80"/>
      </w:pPr>
      <w:r>
        <w:t xml:space="preserve">Assumptions!B51:F51 — replaced the date-comparison formula with fixed values: Year 1 = 4, Year 2 = 4, Year 3–Year 5 = 9 (Year 3+ remains an explicit base-case planning assumption that the final license has actually been obtained by then, consistent with management's licensing plan).</w:t>
      </w:r>
    </w:p>
    <w:p>
      <w:pPr>
        <w:pStyle w:val="ListParagraph"/>
        <w:numPr>
          <w:ilvl w:val="0"/>
          <w:numId w:val="1"/>
        </w:numPr>
        <w:spacing w:after="80"/>
      </w:pPr>
      <w:r>
        <w:t xml:space="preserve">Monthly Model!row 34 (60 columns, B34:BI34) — replaced the same date-comparison with a Plan-Year test (=IF(&lt;col&gt;$4&lt;=2028,4,9)), so every month of Year 1–Year 2 uses 4× and only Year 3–Year 5 months use 9×.</w:t>
      </w:r>
    </w:p>
    <w:p>
      <w:pPr>
        <w:pStyle w:val="ListParagraph"/>
        <w:numPr>
          <w:ilvl w:val="0"/>
          <w:numId w:val="1"/>
        </w:numPr>
        <w:spacing w:after="80"/>
      </w:pPr>
      <w:r>
        <w:t xml:space="preserve">All narrative/disclosure cells describing the old “4×-until-target-date-then-9×” logic were rewritten to state the corrected rule, in: Assumptions (A51, B113), Basel III (A45), Funding &amp; Liquidity (A47, A62, A64–A66), رد الملاحظات (C42), جاهزية التقديم (B19), and Regulatory Data Requirements (G5).</w:t>
      </w:r>
    </w:p>
    <w:p>
      <w:pPr>
        <w:pStyle w:val="ListParagraph"/>
        <w:numPr>
          <w:ilvl w:val="0"/>
          <w:numId w:val="1"/>
        </w:numPr>
        <w:spacing w:after="80"/>
      </w:pPr>
      <w:r>
        <w:t xml:space="preserve">No approved Year 1 / Year 2 commercial plan figures were touched — only the regulatory-limit assumption and its dependent regulatory-status cells.</w:t>
      </w:r>
    </w:p>
    <w:p>
      <w:pPr>
        <w:pStyle w:val="ListParagraph"/>
        <w:numPr>
          <w:ilvl w:val="0"/>
          <w:numId w:val="1"/>
        </w:numPr>
        <w:spacing w:after="80"/>
      </w:pPr>
      <w:r>
        <w:t xml:space="preserve">The pre-existing “Scenario – Slower Year 2” and “Scenario – Standby Capital” sheets already modeled mitigation against a 4× ceiling correctly (they were not affected by the bug) and remain available as the mitigation tools.</w:t>
      </w:r>
    </w:p>
    <w:p>
      <w:pPr>
        <w:pStyle w:val="Heading2"/>
        <w:spacing w:after="120" w:before="280"/>
      </w:pPr>
      <w:r>
        <w:t xml:space="preserve">2.3 Actual result after correction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300"/>
        <w:gridCol w:w="1400"/>
        <w:gridCol w:w="1900"/>
        <w:gridCol w:w="2100"/>
      </w:tblGrid>
      <w:tr>
        <w:tc>
          <w:tcPr>
            <w:tcW w:type="dxa" w:w="1400"/>
            <w:shd w:fill="2F2F2F" w:val="clear"/>
          </w:tcPr>
          <w:p>
            <w:r>
              <w:rPr>
                <w:b/>
                <w:bCs/>
                <w:color w:val="FFFFFF"/>
              </w:rPr>
              <w:t xml:space="preserve">Year</w:t>
            </w:r>
          </w:p>
        </w:tc>
        <w:tc>
          <w:tcPr>
            <w:tcW w:type="dxa" w:w="1700"/>
            <w:shd w:fill="2F2F2F" w:val="clear"/>
          </w:tcPr>
          <w:p>
            <w:r>
              <w:rPr>
                <w:b/>
                <w:bCs/>
                <w:color w:val="FFFFFF"/>
              </w:rPr>
              <w:t xml:space="preserve">Achieved leverage</w:t>
            </w:r>
          </w:p>
        </w:tc>
        <w:tc>
          <w:tcPr>
            <w:tcW w:type="dxa" w:w="1300"/>
            <w:shd w:fill="2F2F2F" w:val="clear"/>
          </w:tcPr>
          <w:p>
            <w:r>
              <w:rPr>
                <w:b/>
                <w:bCs/>
                <w:color w:val="FFFFFF"/>
              </w:rPr>
              <w:t xml:space="preserve">Applicable cap</w:t>
            </w:r>
          </w:p>
        </w:tc>
        <w:tc>
          <w:tcPr>
            <w:tcW w:type="dxa" w:w="1400"/>
            <w:shd w:fill="2F2F2F" w:val="clear"/>
          </w:tcPr>
          <w:p>
            <w:r>
              <w:rPr>
                <w:b/>
                <w:bCs/>
                <w:color w:val="FFFFFF"/>
              </w:rPr>
              <w:t xml:space="preserve">Status</w:t>
            </w:r>
          </w:p>
        </w:tc>
        <w:tc>
          <w:tcPr>
            <w:tcW w:type="dxa" w:w="1900"/>
            <w:shd w:fill="2F2F2F" w:val="clear"/>
          </w:tcPr>
          <w:p>
            <w:r>
              <w:rPr>
                <w:b/>
                <w:bCs/>
                <w:color w:val="FFFFFF"/>
              </w:rPr>
              <w:t xml:space="preserve">Debt reduction required</w:t>
            </w:r>
          </w:p>
        </w:tc>
        <w:tc>
          <w:tcPr>
            <w:tcW w:type="dxa" w:w="2100"/>
            <w:shd w:fill="2F2F2F" w:val="clear"/>
          </w:tcPr>
          <w:p>
            <w:r>
              <w:rPr>
                <w:b/>
                <w:bCs/>
                <w:color w:val="FFFFFF"/>
              </w:rPr>
              <w:t xml:space="preserve">OR additional equity required</w:t>
            </w:r>
          </w:p>
        </w:tc>
      </w:tr>
      <w:tr>
        <w:tc>
          <w:tcPr>
            <w:tcW w:type="dxa" w:w="1400"/>
            <w:shd w:fill="FFFFFF" w:val="clear"/>
          </w:tcPr>
          <w:p>
            <w:r>
              <w:t xml:space="preserve">Year 1</w:t>
            </w:r>
          </w:p>
        </w:tc>
        <w:tc>
          <w:tcPr>
            <w:tcW w:type="dxa" w:w="1700"/>
            <w:shd w:fill="FFFFFF" w:val="clear"/>
          </w:tcPr>
          <w:p>
            <w:r>
              <w:t xml:space="preserve">0.00×</w:t>
            </w:r>
          </w:p>
        </w:tc>
        <w:tc>
          <w:tcPr>
            <w:tcW w:type="dxa" w:w="1300"/>
            <w:shd w:fill="FFFFFF" w:val="clear"/>
          </w:tcPr>
          <w:p>
            <w:r>
              <w:t xml:space="preserve">4×</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r>
        <w:tc>
          <w:tcPr>
            <w:tcW w:type="dxa" w:w="1400"/>
            <w:shd w:fill="F2F2F2" w:val="clear"/>
          </w:tcPr>
          <w:p>
            <w:r>
              <w:t xml:space="preserve">Year 2</w:t>
            </w:r>
          </w:p>
        </w:tc>
        <w:tc>
          <w:tcPr>
            <w:tcW w:type="dxa" w:w="1700"/>
            <w:shd w:fill="F2F2F2" w:val="clear"/>
          </w:tcPr>
          <w:p>
            <w:r>
              <w:t xml:space="preserve">4.86×</w:t>
            </w:r>
          </w:p>
        </w:tc>
        <w:tc>
          <w:tcPr>
            <w:tcW w:type="dxa" w:w="1300"/>
            <w:shd w:fill="F2F2F2" w:val="clear"/>
          </w:tcPr>
          <w:p>
            <w:r>
              <w:t xml:space="preserve">4×</w:t>
            </w:r>
          </w:p>
        </w:tc>
        <w:tc>
          <w:tcPr>
            <w:tcW w:type="dxa" w:w="1400"/>
            <w:shd w:fill="F2F2F2" w:val="clear"/>
          </w:tcPr>
          <w:p>
            <w:r>
              <w:t xml:space="preserve">BREACH</w:t>
            </w:r>
          </w:p>
        </w:tc>
        <w:tc>
          <w:tcPr>
            <w:tcW w:type="dxa" w:w="1900"/>
            <w:shd w:fill="F2F2F2" w:val="clear"/>
          </w:tcPr>
          <w:p>
            <w:r>
              <w:t xml:space="preserve">EGP 65,653,019</w:t>
            </w:r>
          </w:p>
        </w:tc>
        <w:tc>
          <w:tcPr>
            <w:tcW w:type="dxa" w:w="2100"/>
            <w:shd w:fill="F2F2F2" w:val="clear"/>
          </w:tcPr>
          <w:p>
            <w:r>
              <w:t xml:space="preserve">EGP 16,413,255</w:t>
            </w:r>
          </w:p>
        </w:tc>
      </w:tr>
      <w:tr>
        <w:tc>
          <w:tcPr>
            <w:tcW w:type="dxa" w:w="1400"/>
            <w:shd w:fill="FFFFFF" w:val="clear"/>
          </w:tcPr>
          <w:p>
            <w:r>
              <w:t xml:space="preserve">Year 3</w:t>
            </w:r>
          </w:p>
        </w:tc>
        <w:tc>
          <w:tcPr>
            <w:tcW w:type="dxa" w:w="1700"/>
            <w:shd w:fill="FFFFFF" w:val="clear"/>
          </w:tcPr>
          <w:p>
            <w:r>
              <w:t xml:space="preserve">4.57×</w:t>
            </w:r>
          </w:p>
        </w:tc>
        <w:tc>
          <w:tcPr>
            <w:tcW w:type="dxa" w:w="1300"/>
            <w:shd w:fill="FFFFFF" w:val="clear"/>
          </w:tcPr>
          <w:p>
            <w:r>
              <w:t xml:space="preserve">9×</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r>
        <w:tc>
          <w:tcPr>
            <w:tcW w:type="dxa" w:w="1400"/>
            <w:shd w:fill="F2F2F2" w:val="clear"/>
          </w:tcPr>
          <w:p>
            <w:r>
              <w:t xml:space="preserve">Year 4</w:t>
            </w:r>
          </w:p>
        </w:tc>
        <w:tc>
          <w:tcPr>
            <w:tcW w:type="dxa" w:w="1700"/>
            <w:shd w:fill="F2F2F2" w:val="clear"/>
          </w:tcPr>
          <w:p>
            <w:r>
              <w:t xml:space="preserve">4.31×</w:t>
            </w:r>
          </w:p>
        </w:tc>
        <w:tc>
          <w:tcPr>
            <w:tcW w:type="dxa" w:w="1300"/>
            <w:shd w:fill="F2F2F2" w:val="clear"/>
          </w:tcPr>
          <w:p>
            <w:r>
              <w:t xml:space="preserve">9×</w:t>
            </w:r>
          </w:p>
        </w:tc>
        <w:tc>
          <w:tcPr>
            <w:tcW w:type="dxa" w:w="1400"/>
            <w:shd w:fill="F2F2F2" w:val="clear"/>
          </w:tcPr>
          <w:p>
            <w:r>
              <w:t xml:space="preserve">Compliant</w:t>
            </w:r>
          </w:p>
        </w:tc>
        <w:tc>
          <w:tcPr>
            <w:tcW w:type="dxa" w:w="1900"/>
            <w:shd w:fill="F2F2F2" w:val="clear"/>
          </w:tcPr>
          <w:p>
            <w:r>
              <w:t xml:space="preserve">—</w:t>
            </w:r>
          </w:p>
        </w:tc>
        <w:tc>
          <w:tcPr>
            <w:tcW w:type="dxa" w:w="2100"/>
            <w:shd w:fill="F2F2F2" w:val="clear"/>
          </w:tcPr>
          <w:p>
            <w:r>
              <w:t xml:space="preserve">—</w:t>
            </w:r>
          </w:p>
        </w:tc>
      </w:tr>
      <w:tr>
        <w:tc>
          <w:tcPr>
            <w:tcW w:type="dxa" w:w="1400"/>
            <w:shd w:fill="FFFFFF" w:val="clear"/>
          </w:tcPr>
          <w:p>
            <w:r>
              <w:t xml:space="preserve">Year 5</w:t>
            </w:r>
          </w:p>
        </w:tc>
        <w:tc>
          <w:tcPr>
            <w:tcW w:type="dxa" w:w="1700"/>
            <w:shd w:fill="FFFFFF" w:val="clear"/>
          </w:tcPr>
          <w:p>
            <w:r>
              <w:t xml:space="preserve">4.34×</w:t>
            </w:r>
          </w:p>
        </w:tc>
        <w:tc>
          <w:tcPr>
            <w:tcW w:type="dxa" w:w="1300"/>
            <w:shd w:fill="FFFFFF" w:val="clear"/>
          </w:tcPr>
          <w:p>
            <w:r>
              <w:t xml:space="preserve">9×</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bl>
    <w:p>
      <w:pPr>
        <w:spacing w:after="160" w:before="160"/>
      </w:pPr>
    </w:p>
    <w:p>
      <w:pPr>
        <w:spacing w:after="160"/>
      </w:pPr>
      <w:r>
        <w:t xml:space="preserve">At the monthly level, the same correction moves months 23–24 of Year 2 (columns X, Y in Monthly Model) from a false “متوافق” to a real “فجوة” (gap), consistent with the annual result. Month 22 remains compliant at 3.99×.</w:t>
      </w:r>
    </w:p>
    <w:p>
      <w:pPr>
        <w:spacing w:after="160"/>
      </w:pPr>
      <w:r>
        <w:t xml:space="preserve">This breach is a genuine reflection of the approved Year 2 debt and equity plan measured against the correct regulatory ceiling. It has not been used to alter the approved Year 2 business figures, and the ceiling has not been relaxed to manufacture compliance. Two independent, pre-existing mitigation paths are quantified above and modeled in the Scenario sheets: reduce Year 2 bank debt by ~EGP 65.7m, or inject ~EGP 16.4m of additional qualifying equity (figures as corrected in Section 3 below).</w:t>
      </w:r>
    </w:p>
    <w:p>
      <w:pPr>
        <w:pStyle w:val="Heading1"/>
        <w:spacing w:after="160" w:before="360"/>
      </w:pPr>
      <w:r>
        <w:t xml:space="preserve">3. Second Leverage-Calculation Bug — Found and Fixed</w:t>
      </w:r>
    </w:p>
    <w:p>
      <w:pPr>
        <w:spacing w:after="160"/>
      </w:pPr>
      <w:r>
        <w:t xml:space="preserve">A further deep-check pass found the annual leverage test itself (Regulatory Capital Plan!B13:F13) was dividing bank debt by the capital base AFTER CAR-only intangible-asset deductions (row 10) for every year — including Year 1 and Year 2, which are under the 4× net-equity ceiling. The workbook's own existing disclosure (row 48, column E) and its own alternate two-scenario comparison in Funding &amp; Liquidity (rows 64–65) already stated the correct rule: CAR-only intangible deductions are not subtracted from net equity for the 4× test under Decision 268/2023 — only the 9× post-license test (which uses the true regulatory capital base) should subtract them. The monthly test (Monthly Model!row 35) already implemented this correctly; only the annual figure — the one that actually drives Compliance, Checks, and جاهزية التقديم — did not.</w:t>
      </w:r>
    </w:p>
    <w:p>
      <w:pPr>
        <w:spacing w:after="160"/>
      </w:pPr>
      <w:r>
        <w:t xml:space="preserve">Corrected Regulatory Capital Plan!B13:F13, B76:F76, B77:F77, and Basel III!B41:F41 to use the same conditional denominator the model's own monthly test and scenario comparison already used correctly (net equity before CAR deductions while the 4× cap applies; capital base after CAR deductions once the 9× cap applies). A duplicate, unfixed copy of the old formula was also found and corrected on جاهزية التقديم!B7:F8, which now references the corrected Regulatory Capital Plan cells directly instead of recomputing independently.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000"/>
      </w:tblGrid>
      <w:tr>
        <w:tc>
          <w:tcPr>
            <w:tcW w:type="dxa" w:w="3200"/>
            <w:shd w:fill="2F2F2F" w:val="clear"/>
          </w:tcPr>
          <w:p>
            <w:r>
              <w:rPr>
                <w:b/>
                <w:bCs/>
                <w:color w:val="FFFFFF"/>
              </w:rPr>
              <w:t xml:space="preserve"/>
            </w:r>
          </w:p>
        </w:tc>
        <w:tc>
          <w:tcPr>
            <w:tcW w:type="dxa" w:w="3000"/>
            <w:shd w:fill="2F2F2F" w:val="clear"/>
          </w:tcPr>
          <w:p>
            <w:r>
              <w:rPr>
                <w:b/>
                <w:bCs/>
                <w:color w:val="FFFFFF"/>
              </w:rPr>
              <w:t xml:space="preserve">Before this fix (overstated)</w:t>
            </w:r>
          </w:p>
        </w:tc>
        <w:tc>
          <w:tcPr>
            <w:tcW w:type="dxa" w:w="3000"/>
            <w:shd w:fill="2F2F2F" w:val="clear"/>
          </w:tcPr>
          <w:p>
            <w:r>
              <w:rPr>
                <w:b/>
                <w:bCs/>
                <w:color w:val="FFFFFF"/>
              </w:rPr>
              <w:t xml:space="preserve">After this fix (correct)</w:t>
            </w:r>
          </w:p>
        </w:tc>
      </w:tr>
      <w:tr>
        <w:tc>
          <w:tcPr>
            <w:tcW w:type="dxa" w:w="3200"/>
            <w:shd w:fill="FFFFFF" w:val="clear"/>
          </w:tcPr>
          <w:p>
            <w:r>
              <w:t xml:space="preserve">Year 2 achieved leverage</w:t>
            </w:r>
          </w:p>
        </w:tc>
        <w:tc>
          <w:tcPr>
            <w:tcW w:type="dxa" w:w="3000"/>
            <w:shd w:fill="FFFFFF" w:val="clear"/>
          </w:tcPr>
          <w:p>
            <w:r>
              <w:t xml:space="preserve">5.05×</w:t>
            </w:r>
          </w:p>
        </w:tc>
        <w:tc>
          <w:tcPr>
            <w:tcW w:type="dxa" w:w="3000"/>
            <w:shd w:fill="FFFFFF" w:val="clear"/>
          </w:tcPr>
          <w:p>
            <w:r>
              <w:t xml:space="preserve">4.86×</w:t>
            </w:r>
          </w:p>
        </w:tc>
      </w:tr>
      <w:tr>
        <w:tc>
          <w:tcPr>
            <w:tcW w:type="dxa" w:w="3200"/>
            <w:shd w:fill="F2F2F2" w:val="clear"/>
          </w:tcPr>
          <w:p>
            <w:r>
              <w:t xml:space="preserve">Required Year 2 debt reduction</w:t>
            </w:r>
          </w:p>
        </w:tc>
        <w:tc>
          <w:tcPr>
            <w:tcW w:type="dxa" w:w="3000"/>
            <w:shd w:fill="F2F2F2" w:val="clear"/>
          </w:tcPr>
          <w:p>
            <w:r>
              <w:t xml:space="preserve">EGP 77,177,819</w:t>
            </w:r>
          </w:p>
        </w:tc>
        <w:tc>
          <w:tcPr>
            <w:tcW w:type="dxa" w:w="3000"/>
            <w:shd w:fill="F2F2F2" w:val="clear"/>
          </w:tcPr>
          <w:p>
            <w:r>
              <w:t xml:space="preserve">EGP 65,653,019</w:t>
            </w:r>
          </w:p>
        </w:tc>
      </w:tr>
      <w:tr>
        <w:tc>
          <w:tcPr>
            <w:tcW w:type="dxa" w:w="3200"/>
            <w:shd w:fill="FFFFFF" w:val="clear"/>
          </w:tcPr>
          <w:p>
            <w:r>
              <w:t xml:space="preserve">Required Year 2 equity increase</w:t>
            </w:r>
          </w:p>
        </w:tc>
        <w:tc>
          <w:tcPr>
            <w:tcW w:type="dxa" w:w="3000"/>
            <w:shd w:fill="FFFFFF" w:val="clear"/>
          </w:tcPr>
          <w:p>
            <w:r>
              <w:t xml:space="preserve">EGP 19,294,455</w:t>
            </w:r>
          </w:p>
        </w:tc>
        <w:tc>
          <w:tcPr>
            <w:tcW w:type="dxa" w:w="3000"/>
            <w:shd w:fill="FFFFFF" w:val="clear"/>
          </w:tcPr>
          <w:p>
            <w:r>
              <w:t xml:space="preserve">EGP 16,413,255</w:t>
            </w:r>
          </w:p>
        </w:tc>
      </w:tr>
    </w:tbl>
    <w:p>
      <w:pPr>
        <w:spacing w:after="160" w:before="160"/>
      </w:pPr>
    </w:p>
    <w:p>
      <w:pPr>
        <w:spacing w:after="160"/>
      </w:pPr>
      <w:r>
        <w:t xml:space="preserve">Year 2 is still genuinely in breach of the 4× ceiling either way — this fix makes the reported size of the gap accurate, not smaller by choice. It was verified against the workbook's own already-correct monthly and scenario-comparison logic, not adjusted to produce a more favorable number.</w:t>
      </w:r>
    </w:p>
    <w:p>
      <w:pPr>
        <w:pStyle w:val="Heading1"/>
        <w:spacing w:after="160" w:before="360"/>
      </w:pPr>
      <w:r>
        <w:t xml:space="preserve">4. Twelve Broken Formulas (1,310 Cascading Errors) — Found and Fixed</w:t>
      </w:r>
    </w:p>
    <w:p>
      <w:pPr>
        <w:spacing w:after="160"/>
      </w:pPr>
      <w:r>
        <w:t xml:space="preserve">A genuine full-workbook recalculation (see Section 8) surfaced 1,310 #N/A error cells. All of them traced back to the same root cause, present identically in the original, unedited file: twelve cells across three sheets contained a syntactically empty formula — literally the character “=” with nothing after it. openpyxl (and any tool that never actually recalculates) silently reads these as whatever value happened to be cached from the last time someone calculated the file in real Excel, masking the defect completely until a real recalculation is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c>
          <w:tcPr>
            <w:tcW w:type="dxa" w:w="2400"/>
            <w:shd w:fill="2F2F2F" w:val="clear"/>
          </w:tcPr>
          <w:p>
            <w:r>
              <w:rPr>
                <w:b/>
                <w:bCs/>
                <w:color w:val="FFFFFF"/>
              </w:rPr>
              <w:t xml:space="preserve">Cells</w:t>
            </w:r>
          </w:p>
        </w:tc>
        <w:tc>
          <w:tcPr>
            <w:tcW w:type="dxa" w:w="3600"/>
            <w:shd w:fill="2F2F2F" w:val="clear"/>
          </w:tcPr>
          <w:p>
            <w:r>
              <w:rPr>
                <w:b/>
                <w:bCs/>
                <w:color w:val="FFFFFF"/>
              </w:rPr>
              <w:t xml:space="preserve">What they represent</w:t>
            </w:r>
          </w:p>
        </w:tc>
        <w:tc>
          <w:tcPr>
            <w:tcW w:type="dxa" w:w="3000"/>
            <w:shd w:fill="2F2F2F" w:val="clear"/>
          </w:tcPr>
          <w:p>
            <w:r>
              <w:rPr>
                <w:b/>
                <w:bCs/>
                <w:color w:val="FFFFFF"/>
              </w:rPr>
              <w:t xml:space="preserve">Fix applied</w:t>
            </w:r>
          </w:p>
        </w:tc>
      </w:tr>
      <w:tr>
        <w:tc>
          <w:tcPr>
            <w:tcW w:type="dxa" w:w="2400"/>
            <w:shd w:fill="FFFFFF" w:val="clear"/>
          </w:tcPr>
          <w:p>
            <w:r>
              <w:t xml:space="preserve">Cohort Interest!B8, C8</w:t>
            </w:r>
          </w:p>
        </w:tc>
        <w:tc>
          <w:tcPr>
            <w:tcW w:type="dxa" w:w="3600"/>
            <w:shd w:fill="FFFFFF" w:val="clear"/>
          </w:tcPr>
          <w:p>
            <w:r>
              <w:t xml:space="preserve">Year 1 / Year 2 approved lease income (feeds Income Statement, Balance Sheet, Cash Flow for both years)</w:t>
            </w:r>
          </w:p>
        </w:tc>
        <w:tc>
          <w:tcPr>
            <w:tcW w:type="dxa" w:w="3000"/>
            <w:shd w:fill="FFFFFF" w:val="clear"/>
          </w:tcPr>
          <w:p>
            <w:r>
              <w:t xml:space="preserve">Restored as explicit hardcoded management inputs: 3,538,847.96 and 45,873,640.26 — the exact figures every other Year 1/Year 2 statement was already built around</w:t>
            </w:r>
          </w:p>
        </w:tc>
      </w:tr>
      <w:tr>
        <w:tc>
          <w:tcPr>
            <w:tcW w:type="dxa" w:w="2400"/>
            <w:shd w:fill="F2F2F2" w:val="clear"/>
          </w:tcPr>
          <w:p>
            <w:r>
              <w:t xml:space="preserve">Regulatory Capital Plan!B38:F38</w:t>
            </w:r>
          </w:p>
        </w:tc>
        <w:tc>
          <w:tcPr>
            <w:tcW w:type="dxa" w:w="3600"/>
            <w:shd w:fill="F2F2F2" w:val="clear"/>
          </w:tcPr>
          <w:p>
            <w:r>
              <w:t xml:space="preserve">Largest actual customer/related-party exposure (concentration test)</w:t>
            </w:r>
          </w:p>
        </w:tc>
        <w:tc>
          <w:tcPr>
            <w:tcW w:type="dxa" w:w="3000"/>
            <w:shd w:fill="F2F2F2" w:val="clear"/>
          </w:tcPr>
          <w:p>
            <w:r>
              <w:t xml:space="preserve">Restored as the plain-text “بيانات تشغيلية مطلوبة” (operational data required) label the downstream ISNUMBER() check already expects</w:t>
            </w:r>
          </w:p>
        </w:tc>
      </w:tr>
      <w:tr>
        <w:tc>
          <w:tcPr>
            <w:tcW w:type="dxa" w:w="2400"/>
            <w:shd w:fill="FFFFFF" w:val="clear"/>
          </w:tcPr>
          <w:p>
            <w:r>
              <w:t xml:space="preserve">Basel III!B66:F66</w:t>
            </w:r>
          </w:p>
        </w:tc>
        <w:tc>
          <w:tcPr>
            <w:tcW w:type="dxa" w:w="3600"/>
            <w:shd w:fill="FFFFFF" w:val="clear"/>
          </w:tcPr>
          <w:p>
            <w:r>
              <w:t xml:space="preserve">LCR mandatory minimum (100%)</w:t>
            </w:r>
          </w:p>
        </w:tc>
        <w:tc>
          <w:tcPr>
            <w:tcW w:type="dxa" w:w="3000"/>
            <w:shd w:fill="FFFFFF" w:val="clear"/>
          </w:tcPr>
          <w:p>
            <w:r>
              <w:t xml:space="preserve">Restored as =1, matching the identical, already-correct pattern used for the NSFR minimum at row 81</w:t>
            </w:r>
          </w:p>
        </w:tc>
      </w:tr>
    </w:tbl>
    <w:p>
      <w:pPr>
        <w:spacing w:after="160" w:before="160"/>
      </w:pPr>
    </w:p>
    <w:p>
      <w:pPr>
        <w:spacing w:after="160"/>
      </w:pPr>
      <w:r>
        <w:t xml:space="preserve">The restored lease-income values are not a guess: they are the exact numbers every downstream Year 1/Year 2 statement in this workbook was already built around (net profit, retained earnings, balance sheet, cash flow all already reconciled using them as cached values before this fix). They are also identical to the values already reported throughout Section 2 and Section 4 of this report. No approved commercial figure changed — the formula that generates it was simply broken, and is now repaired to produce the same number reliably, from any tool, on every future recalculation.</w:t>
      </w:r>
    </w:p>
    <w:p>
      <w:pPr>
        <w:pStyle w:val="Heading1"/>
        <w:spacing w:after="160" w:before="360"/>
      </w:pPr>
      <w:r>
        <w:t xml:space="preserve">5. Year 1 / Year 2 Freeze Test</w:t>
      </w:r>
    </w:p>
    <w:p>
      <w:pPr>
        <w:spacing w:after="160"/>
      </w:pPr>
      <w:r>
        <w:t xml:space="preserve">Method: a baseline was built by applying only the twelve broken-formula fixes (Section 3) to the untouched original workbook, then genuinely recalculating it — giving a proper, error-free reference for what Year 1 and Year 2 were always supposed to show. Every cell in all 33 sheets was then compared, real computed value against real computed value, to the fully corrected workbook. 324 cells differ; of those, roughly 260 are pure diacritic-mark text edits (no change in meaning or number) and the remainder are exactly the leverage-cap fix and its dependent status cells (Regulatory Capital Plan, Monthly Model, Checks, Compliance, Ratios, جاهزية التقديم) correctly flipping to show the real Year 2 gap — all regulatory-calculation cells, explicitly excluded from the freeze per the brief.</w:t>
      </w:r>
    </w:p>
    <w:p>
      <w:pPr>
        <w:spacing w:after="160"/>
      </w:pPr>
      <w:r>
        <w:t xml:space="preserve">No cell holding an approved Year 1 or Year 2 origination, portfolio, income-statement, balance-sheet, cash-flow, staffing, opex, capex, or capital figure differs by more than floating-point noise (&lt;0.01).</w:t>
      </w:r>
    </w:p>
    <w:p>
      <w:pPr>
        <w:spacing w:after="60"/>
      </w:pPr>
      <w:r>
        <w:rPr>
          <w:b/>
          <w:bCs/>
        </w:rPr>
        <w:t xml:space="preserve">Result: </w:t>
      </w:r>
      <w:r>
        <w:rPr>
          <w:b/>
          <w:bCs/>
          <w:color w:val="1E7B34"/>
        </w:rPr>
        <w:t xml:space="preserve">0 unauthorized Year 1 / Year 2 plan-figure changes, verified on real recalculated values</w:t>
      </w:r>
    </w:p>
    <w:p>
      <w:pPr>
        <w:pStyle w:val="Heading1"/>
        <w:spacing w:after="160" w:before="360"/>
      </w:pPr>
      <w:r>
        <w:t xml:space="preserve">6. Other Corrections Made</w:t>
      </w:r>
    </w:p>
    <w:p>
      <w:pPr>
        <w:pStyle w:val="Heading2"/>
        <w:spacing w:after="120" w:before="280"/>
      </w:pPr>
      <w:r>
        <w:t xml:space="preserve">6.0 Print/page layout fixed — content was being cut off across pages</w:t>
      </w:r>
    </w:p>
    <w:p>
      <w:pPr>
        <w:spacing w:after="160"/>
      </w:pPr>
      <w:r>
        <w:t xml:space="preserve">Every sheet in the original workbook was set to portrait orientation with page-fit disabled, at 100% scale. Because several sheets are wide (up to 61 columns on Monthly Model), printing or exporting to PDF split columns across separate pages — cutting descriptive text off mid-sentence, and in at least one case (جاهزية التقديم, row 2) visually overlapping a citation URL with unrelated Arabic text from a neighboring page. This was purely a print/page-layout setting; the underlying cell data and formulas were never affected. All 33 sheets were switched to landscape orientation with fit-to-page-width enabled, which resolved it: a full-workbook PDF export now runs 61 pages instead of 164, every column renders on the same page as its row, and the دليل الملف file guide's description and navigation columns — previously missing entirely from the printed page — now display together as intended.</w:t>
      </w:r>
    </w:p>
    <w:p>
      <w:pPr>
        <w:pStyle w:val="Heading2"/>
        <w:spacing w:after="120" w:before="280"/>
      </w:pPr>
      <w:r>
        <w:t xml:space="preserve">6.1 Arabic diacritics removed</w:t>
      </w:r>
    </w:p>
    <w:p>
      <w:pPr>
        <w:spacing w:after="160"/>
      </w:pPr>
      <w:r>
        <w:t xml:space="preserve">277 cells across the workbook (label text and formula string-literals) had tashkeel (َ ً ُ ٌ ِ ٍ ّ ْ) stripped, per the house style for clean professional Arabic.</w:t>
      </w:r>
    </w:p>
    <w:p>
      <w:pPr>
        <w:pStyle w:val="Heading2"/>
        <w:spacing w:after="120" w:before="280"/>
      </w:pPr>
      <w:r>
        <w:t xml:space="preserve">6.2 Broken navigation links repaired</w:t>
      </w:r>
    </w:p>
    <w:p>
      <w:pPr>
        <w:spacing w:after="160"/>
      </w:pPr>
      <w:r>
        <w:t xml:space="preserve">13 hyperlinks in the Cover sheet and the جاهزية التقديم sheet were found pointing at a stray leftover filename (residue of a prior automated editing pass) instead of the intended worksheet, and had no internal anchor set — clicking them would not have navigated anywhere. All 13 were rebuilt as proper internal Excel hyperlinks. Every hyperlink in the workbook (47 native links plus 32 formula-based HYPERLINK() navigation buttons on the دليل الملف sheet — 79 in total) was then verified to resolve to a real, existing sheet.</w:t>
      </w:r>
    </w:p>
    <w:p>
      <w:pPr>
        <w:pStyle w:val="Heading2"/>
        <w:spacing w:after="120" w:before="280"/>
      </w:pPr>
      <w:r>
        <w:t xml:space="preserve">6.3 Process-residue artifact removed</w:t>
      </w:r>
    </w:p>
    <w:p>
      <w:pPr>
        <w:spacing w:after="160"/>
      </w:pPr>
      <w:r>
        <w:t xml:space="preserve">One stray cell (رد الملاحظات!D55) contained a leftover intermediate filename from a prior automated editing pass, outside the sheet's used content area. It has been cleared.</w:t>
      </w:r>
    </w:p>
    <w:p>
      <w:pPr>
        <w:pStyle w:val="Heading2"/>
        <w:spacing w:after="120" w:before="280"/>
      </w:pPr>
      <w:r>
        <w:t xml:space="preserve">6.4 AI / chat / audit-trail search</w:t>
      </w:r>
    </w:p>
    <w:p>
      <w:pPr>
        <w:spacing w:after="160"/>
      </w:pPr>
      <w:r>
        <w:t xml:space="preserve">A full-workbook keyword search for ChatGPT, Claude, AI, prompt, agent, audit bot, red team, and similar phrases (English and Arabic) returned zero matches. No internal diagnostic commentary or chat-derived language was found.</w:t>
      </w:r>
    </w:p>
    <w:p>
      <w:pPr>
        <w:pStyle w:val="Heading1"/>
        <w:spacing w:after="160" w:before="360"/>
      </w:pPr>
      <w:r>
        <w:t xml:space="preserve">7. What Was Already Sound (No Change Needed)</w:t>
      </w:r>
    </w:p>
    <w:p>
      <w:pPr>
        <w:spacing w:after="160"/>
      </w:pPr>
      <w:r>
        <w:t xml:space="preserve">This workbook was materially more disciplined than a typical first draft. The following were reviewed and found already correct, and were left untouched:</w:t>
      </w:r>
    </w:p>
    <w:p>
      <w:pPr>
        <w:pStyle w:val="ListParagraph"/>
        <w:numPr>
          <w:ilvl w:val="0"/>
          <w:numId w:val="1"/>
        </w:numPr>
        <w:spacing w:after="80"/>
      </w:pPr>
      <w:r>
        <w:t xml:space="preserve">Capital adequacy stack: the 12% Pillar-1 minimum and the 2.5% capital conservation buffer are already kept as two distinct tests (Regulatory Capital Plan rows 32 and 53–58) — the model does not silently fold them into a single hard 14.5% minimum.</w:t>
      </w:r>
    </w:p>
    <w:p>
      <w:pPr>
        <w:pStyle w:val="ListParagraph"/>
        <w:numPr>
          <w:ilvl w:val="0"/>
          <w:numId w:val="1"/>
        </w:numPr>
        <w:spacing w:after="80"/>
      </w:pPr>
      <w:r>
        <w:t xml:space="preserve">LCR: net outflows already use the 90% cap on eligible inflows (not 75%) — Funding &amp; Liquidity rows 19, 83 and Basel III row 63.</w:t>
      </w:r>
    </w:p>
    <w:p>
      <w:pPr>
        <w:pStyle w:val="ListParagraph"/>
        <w:numPr>
          <w:ilvl w:val="0"/>
          <w:numId w:val="1"/>
        </w:numPr>
        <w:spacing w:after="80"/>
      </w:pPr>
      <w:r>
        <w:t xml:space="preserve">NSFR: built from an explicit maturity-bucket ladder with disclosed planning weights, not invented percentages.</w:t>
      </w:r>
    </w:p>
    <w:p>
      <w:pPr>
        <w:pStyle w:val="ListParagraph"/>
        <w:numPr>
          <w:ilvl w:val="0"/>
          <w:numId w:val="1"/>
        </w:numPr>
        <w:spacing w:after="80"/>
      </w:pPr>
      <w:r>
        <w:t xml:space="preserve">Regulatory status cells (CAR, LCR, NSFR, single-obligor concentration): already labeled “استرشادي / بيانات معلقة” (indicative / pending data) rather than a false definitive PASS, wherever the underlying data is genuinely unavailable.</w:t>
      </w:r>
    </w:p>
    <w:p>
      <w:pPr>
        <w:pStyle w:val="ListParagraph"/>
        <w:numPr>
          <w:ilvl w:val="0"/>
          <w:numId w:val="1"/>
        </w:numPr>
        <w:spacing w:after="80"/>
      </w:pPr>
      <w:r>
        <w:t xml:space="preserve">Three-statement reconciliation: Balance Sheet balances every year (residual &lt; 1.2e-7, floating-point noise only), Cash Flow closing cash ties exactly to the Balance Sheet, and the Checks sheet reproduces each relationship independently rather than referencing another PASS cell.</w:t>
      </w:r>
    </w:p>
    <w:p>
      <w:pPr>
        <w:pStyle w:val="ListParagraph"/>
        <w:numPr>
          <w:ilvl w:val="0"/>
          <w:numId w:val="1"/>
        </w:numPr>
        <w:spacing w:after="80"/>
      </w:pPr>
      <w:r>
        <w:t xml:space="preserve">A genuine two-scenario Year-2 mitigation comparison already existed in Funding &amp; Liquidity (rows 62–66) and in the dedicated Scenario – Slower Year 2 / Scenario – Standby Capital sheets, both of which already used a hard 4× test independent of the buggy assumption.</w:t>
      </w:r>
    </w:p>
    <w:p>
      <w:pPr>
        <w:pStyle w:val="Heading1"/>
        <w:spacing w:after="160" w:before="360"/>
      </w:pPr>
      <w:r>
        <w:t xml:space="preserve">8. Formula-Integrity Scan</w:t>
      </w:r>
    </w:p>
    <w:p>
      <w:pPr>
        <w:spacing w:after="160"/>
      </w:pPr>
      <w:r>
        <w:t xml:space="preserve">A full automated recalculation was completed in LibreOffice Calc. (It initially failed: this environment's LibreOffice installation was missing its actual Calc and Writer application modules — only the core runtime was present, so it could not load any document at all, not even LibreOffice's own bundled sample file. That was diagnosed and repaired by installing the missing libreoffice-calc / libreoffice-writer packages, after which recalculation worked normally.)</w:t>
      </w:r>
    </w:p>
    <w:p>
      <w:pPr>
        <w:spacing w:after="60"/>
      </w:pPr>
      <w:r>
        <w:rPr>
          <w:b/>
          <w:bCs/>
        </w:rPr>
        <w:t xml:space="preserve">Full-workbook recalculation status: </w:t>
      </w:r>
      <w:r>
        <w:rPr>
          <w:b/>
          <w:bCs/>
          <w:color w:val="1E7B34"/>
        </w:rPr>
        <w:t xml:space="preserve">success — 0 errors</w:t>
      </w:r>
    </w:p>
    <w:p>
      <w:pPr>
        <w:spacing w:after="60"/>
      </w:pPr>
      <w:r>
        <w:rPr>
          <w:b/>
          <w:bCs/>
        </w:rPr>
        <w:t xml:space="preserve">Formulas recalculated: </w:t>
      </w:r>
      <w:r>
        <w:rPr>
          <w:b w:val="false"/>
          <w:bCs w:val="false"/>
        </w:rPr>
        <w:t xml:space="preserve">4,776</w:t>
      </w:r>
    </w:p>
    <w:p>
      <w:pPr>
        <w:spacing w:after="60"/>
      </w:pPr>
      <w:r>
        <w:rPr>
          <w:b/>
          <w:bCs/>
        </w:rPr>
        <w:t xml:space="preserve">Error cells (#REF!, #DIV/0!, #VALUE!, #NAME?, #NUM!, #N/A, #NULL!): </w:t>
      </w:r>
      <w:r>
        <w:rPr>
          <w:b/>
          <w:bCs/>
          <w:color w:val="1E7B34"/>
        </w:rPr>
        <w:t xml:space="preserve">0</w:t>
      </w:r>
    </w:p>
    <w:p>
      <w:pPr>
        <w:spacing w:after="60"/>
      </w:pPr>
      <w:r>
        <w:rPr>
          <w:b/>
          <w:bCs/>
        </w:rPr>
        <w:t xml:space="preserve">Same recalculation run against the unmodified original file: </w:t>
      </w:r>
      <w:r>
        <w:rPr>
          <w:b/>
          <w:bCs/>
          <w:color w:val="C00000"/>
        </w:rPr>
        <w:t xml:space="preserve">1,310 #N/A errors, all traced to Section 3's twelve broken formulas</w:t>
      </w:r>
    </w:p>
    <w:p>
      <w:pPr>
        <w:spacing w:after="160"/>
      </w:pPr>
      <w:r>
        <w:t xml:space="preserve">The 1,310 pre-existing errors were entirely masked in the original file because nothing had ever actually recalculated it in this pipeline before now — every tool that only reads cached values (openpyxl, quick previews, this session's own earlier passes) silently showed the last value Excel had cached, with no way to detect that the generating formula was broken. This is precisely why a real recalculation, not a syntax check, is the only verification that counts — and it is now clean.</w:t>
      </w:r>
    </w:p>
    <w:p>
      <w:pPr>
        <w:spacing w:after="160"/>
      </w:pPr>
      <w:r>
        <w:t xml:space="preserve">All 79 internal hyperlinks (Section 6.2) and the Year 2 leverage results (Sections 2.3 and 3) were re-verified after this recalculation and are unaffected by it.</w:t>
      </w:r>
    </w:p>
    <w:p>
      <w:pPr>
        <w:pStyle w:val="Heading1"/>
        <w:spacing w:after="160" w:before="360"/>
      </w:pPr>
      <w:r>
        <w:t xml:space="preserve">9. Regulatory Source Verification — Disclosed Limitation</w:t>
      </w:r>
    </w:p>
    <w:p>
      <w:pPr>
        <w:spacing w:after="160"/>
      </w:pPr>
      <w:r>
        <w:t xml:space="preserve">Outbound network access to the official FRA source documents cited in the brief (fra.gov.eg PDFs for Decisions 268/2023 and 137/2025) was blocked by this session's network policy. Secondary press coverage of Decision 137/2025 was reachable and is directionally consistent with what the workbook already documents (Basel III framework, phased application starting 1 January 2026, mandatory from 1 January 2027), but exact article-by-article citation against the primary legal text could not be independently re-verified this session.</w:t>
      </w:r>
    </w:p>
    <w:p>
      <w:pPr>
        <w:spacing w:after="160"/>
      </w:pPr>
      <w:r>
        <w:t xml:space="preserve">The Year 2 leverage-ceiling correction in Section 2 does not depend on this limitation — it corrects an internal date-logic defect against the rule the workbook's own existing disclosures (Assumptions!B113, Sources!S01) and this task's brief already state. The capital-stack, LCR-cap, and NSFR treatments in Section 7 were likewise judged against standard, well-established Basel III mechanics that Egypt's Decision 137/2025 is press-confirmed to follow, not against a freshly re-read primary text.</w:t>
      </w:r>
    </w:p>
    <w:p>
      <w:pPr>
        <w:spacing w:after="160"/>
      </w:pPr>
      <w:r>
        <w:rPr>
          <w:i/>
          <w:iCs/>
          <w:color w:val="595959"/>
        </w:rPr>
        <w:t xml:space="preserve">This is flagged as an open item for legal / compliance sign-off before the workbook is submitted to the FRA, exactly as the workbook's own “Regulatory Data Requirements” sheet already requires for pending external confirmations.</w:t>
      </w:r>
    </w:p>
    <w:p>
      <w:pPr>
        <w:pStyle w:val="Heading1"/>
        <w:spacing w:after="160" w:before="360"/>
      </w:pPr>
      <w:r>
        <w:t xml:space="preserve">10. Recommended Next Steps Before Submission</w:t>
      </w:r>
    </w:p>
    <w:p>
      <w:pPr>
        <w:spacing w:after="160"/>
      </w:pPr>
      <w:r>
        <w:t xml:space="preserve">The Product Owner was shown the concrete resulting numbers for closing the Year 2 gap via bank-debt reduction — an ~EGP 65.7m cut concentrated in the last two months of Year 2, which would mean originating roughly 12% less business than approved for the year — and explicitly decided to keep the approved Year 2 plan fully intact and submit with the gap honestly disclosed. That decision is reflected in the delivered workbook: Year 2 shows a real 4.86× vs 4× breach, with both mitigation paths (debt reduction or equity injection) fully quantified but not applied to the base case.</w:t>
      </w:r>
    </w:p>
    <w:p>
      <w:pPr>
        <w:pStyle w:val="ListParagraph"/>
        <w:numPr>
          <w:ilvl w:val="0"/>
          <w:numId w:val="1"/>
        </w:numPr>
        <w:spacing w:after="80"/>
      </w:pPr>
      <w:r>
        <w:t xml:space="preserve">Before submission, decide on the actual remediation commitment to state to the FRA for the Year 2 gap: reduce Year 2 bank debt by ~EGP 65.7m, inject ~EGP 16.4m of additional equity, or a blend — using the existing Scenario – Slower Year 2 / Scenario – Standby Capital sheets to model whichever path is chosen.</w:t>
      </w:r>
    </w:p>
    <w:p>
      <w:pPr>
        <w:pStyle w:val="ListParagraph"/>
        <w:numPr>
          <w:ilvl w:val="0"/>
          <w:numId w:val="1"/>
        </w:numPr>
        <w:spacing w:after="80"/>
      </w:pPr>
      <w:r>
        <w:t xml:space="preserve">None required for recalculation — it is already confirmed clean in this session (Section 8). Still open the final workbook once in Excel as a last sanity check before submission.</w:t>
      </w:r>
    </w:p>
    <w:p>
      <w:pPr>
        <w:pStyle w:val="ListParagraph"/>
        <w:numPr>
          <w:ilvl w:val="0"/>
          <w:numId w:val="1"/>
        </w:numPr>
        <w:spacing w:after="80"/>
      </w:pPr>
      <w:r>
        <w:t xml:space="preserve">Minor cosmetic-only item: the source-URL citation in جاهزية التقديم!D19 (and similar long URLs elsewhere) may still show slightly truncated in a printed/exported page, since fit-to-page-width now compresses the whole sheet onto one page. The full URL is fully intact in the cell itself — click it to see or copy the complete address. Not a data or formula issue.</w:t>
      </w:r>
    </w:p>
    <w:p>
      <w:pPr>
        <w:pStyle w:val="ListParagraph"/>
        <w:numPr>
          <w:ilvl w:val="0"/>
          <w:numId w:val="1"/>
        </w:numPr>
        <w:spacing w:after="80"/>
      </w:pPr>
      <w:r>
        <w:t xml:space="preserve">Complete the 15 outstanding items tracked in the Regulatory Data Requirements sheet (actual license issuance, bank facility contracts, fixed-asset register, customer concentration register, etc.) before treating any regulatory ratio as final.</w:t>
      </w:r>
    </w:p>
    <w:p>
      <w:pPr>
        <w:pStyle w:val="ListParagraph"/>
        <w:numPr>
          <w:ilvl w:val="0"/>
          <w:numId w:val="1"/>
        </w:numPr>
        <w:spacing w:after="80"/>
      </w:pPr>
      <w:r>
        <w:t xml:space="preserve">Obtain the written legal opinion on the venture-capital primary-funding condition (Decision 268/2023, Article 3(9)) already flagged in Regulatory Data Requirements item 13 — unresolved and material given Year 2's reliance on bank funding.</w:t>
      </w:r>
    </w:p>
    <w:p>
      <w:pPr>
        <w:pStyle w:val="ListParagraph"/>
        <w:numPr>
          <w:ilvl w:val="0"/>
          <w:numId w:val="1"/>
        </w:numPr>
        <w:spacing w:after="80"/>
      </w:pPr>
      <w:r>
        <w:t xml:space="preserve">Re-verify the exact capital-stack and LCR/NSFR article citations against the primary FRA PDF text once network access is available, per Section 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2026-09-02T14:14:27.897Z</dcterms:created>
  <dcterms:modified xsi:type="dcterms:W3CDTF">2026-09-02T14:14:27.897Z</dcterms:modified>
</cp:coreProperties>
</file>

<file path=docProps/custom.xml><?xml version="1.0" encoding="utf-8"?>
<Properties xmlns="http://schemas.openxmlformats.org/officeDocument/2006/custom-properties" xmlns:vt="http://schemas.openxmlformats.org/officeDocument/2006/docPropsVTypes"/>
</file>